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B7A" w:rsidRPr="0007641B" w:rsidRDefault="009851FC" w:rsidP="00404ED9">
      <w:pPr>
        <w:shd w:val="clear" w:color="auto" w:fill="D9D9D9"/>
        <w:contextualSpacing/>
        <w:jc w:val="center"/>
        <w:rPr>
          <w:rFonts w:asciiTheme="majorHAnsi" w:hAnsiTheme="majorHAnsi" w:cs="Arial"/>
          <w:b/>
          <w:bCs/>
        </w:rPr>
      </w:pPr>
      <w:r w:rsidRPr="0007641B">
        <w:rPr>
          <w:rFonts w:asciiTheme="majorHAnsi" w:hAnsiTheme="majorHAnsi" w:cs="Arial"/>
          <w:b/>
          <w:bCs/>
        </w:rPr>
        <w:t xml:space="preserve">PROJETO DE </w:t>
      </w:r>
      <w:r w:rsidR="0009339E" w:rsidRPr="0007641B">
        <w:rPr>
          <w:rFonts w:asciiTheme="majorHAnsi" w:hAnsiTheme="majorHAnsi" w:cs="Arial"/>
          <w:b/>
          <w:bCs/>
        </w:rPr>
        <w:t xml:space="preserve">LEI </w:t>
      </w:r>
      <w:r w:rsidR="00167424" w:rsidRPr="0007641B">
        <w:rPr>
          <w:rFonts w:asciiTheme="majorHAnsi" w:hAnsiTheme="majorHAnsi" w:cs="Arial"/>
          <w:b/>
          <w:bCs/>
        </w:rPr>
        <w:t xml:space="preserve">COMPLEMENTAR </w:t>
      </w:r>
      <w:r w:rsidR="0009339E" w:rsidRPr="0007641B">
        <w:rPr>
          <w:rFonts w:asciiTheme="majorHAnsi" w:hAnsiTheme="majorHAnsi" w:cs="Arial"/>
          <w:b/>
          <w:bCs/>
        </w:rPr>
        <w:t xml:space="preserve">N° </w:t>
      </w:r>
      <w:r w:rsidR="000D5DB5" w:rsidRPr="0007641B">
        <w:rPr>
          <w:rFonts w:asciiTheme="majorHAnsi" w:hAnsiTheme="majorHAnsi" w:cs="Arial"/>
          <w:b/>
          <w:bCs/>
        </w:rPr>
        <w:t>003</w:t>
      </w:r>
      <w:r w:rsidR="0009339E" w:rsidRPr="0007641B">
        <w:rPr>
          <w:rFonts w:asciiTheme="majorHAnsi" w:hAnsiTheme="majorHAnsi" w:cs="Arial"/>
          <w:b/>
          <w:bCs/>
        </w:rPr>
        <w:t xml:space="preserve">, DE </w:t>
      </w:r>
      <w:r w:rsidR="000D5DB5" w:rsidRPr="0007641B">
        <w:rPr>
          <w:rFonts w:asciiTheme="majorHAnsi" w:hAnsiTheme="majorHAnsi" w:cs="Arial"/>
          <w:b/>
          <w:bCs/>
        </w:rPr>
        <w:t>10 DE JULHO DE 2020.</w:t>
      </w:r>
    </w:p>
    <w:p w:rsidR="00CE2B7A" w:rsidRPr="0007641B" w:rsidRDefault="00CE2B7A" w:rsidP="00404ED9">
      <w:pPr>
        <w:contextualSpacing/>
        <w:jc w:val="center"/>
        <w:rPr>
          <w:rFonts w:asciiTheme="majorHAnsi" w:hAnsiTheme="majorHAnsi" w:cs="Arial"/>
          <w:i/>
          <w:iCs/>
        </w:rPr>
      </w:pPr>
    </w:p>
    <w:p w:rsidR="000D5DB5" w:rsidRPr="0007641B" w:rsidRDefault="000D5DB5" w:rsidP="000D5DB5">
      <w:pPr>
        <w:ind w:left="4536"/>
        <w:jc w:val="both"/>
        <w:rPr>
          <w:rFonts w:asciiTheme="majorHAnsi" w:eastAsia="MS Mincho" w:hAnsiTheme="majorHAnsi"/>
          <w:i/>
        </w:rPr>
      </w:pPr>
      <w:r w:rsidRPr="0007641B">
        <w:rPr>
          <w:rFonts w:asciiTheme="majorHAnsi" w:hAnsiTheme="majorHAnsi"/>
          <w:i/>
        </w:rPr>
        <w:t>Dispõe sobre alterações da Lei Complementar Municipal nº 021, de 20 de dezembro de 2006, e dá outras providencias.</w:t>
      </w:r>
    </w:p>
    <w:p w:rsidR="00CE2B7A" w:rsidRPr="0007641B" w:rsidRDefault="00CE2B7A" w:rsidP="000D5DB5">
      <w:pPr>
        <w:autoSpaceDE w:val="0"/>
        <w:autoSpaceDN w:val="0"/>
        <w:adjustRightInd w:val="0"/>
        <w:contextualSpacing/>
        <w:jc w:val="both"/>
        <w:rPr>
          <w:rStyle w:val="Forte"/>
          <w:rFonts w:asciiTheme="majorHAnsi" w:hAnsiTheme="majorHAnsi" w:cs="Arial"/>
          <w:bCs w:val="0"/>
          <w:i/>
        </w:rPr>
      </w:pPr>
    </w:p>
    <w:p w:rsidR="0009339E" w:rsidRPr="0007641B" w:rsidRDefault="0009339E" w:rsidP="00404ED9">
      <w:pPr>
        <w:autoSpaceDE w:val="0"/>
        <w:autoSpaceDN w:val="0"/>
        <w:adjustRightInd w:val="0"/>
        <w:ind w:left="4536"/>
        <w:contextualSpacing/>
        <w:jc w:val="both"/>
        <w:rPr>
          <w:rStyle w:val="Forte"/>
          <w:rFonts w:asciiTheme="majorHAnsi" w:hAnsiTheme="majorHAnsi" w:cs="Arial"/>
          <w:bCs w:val="0"/>
          <w:i/>
        </w:rPr>
      </w:pPr>
    </w:p>
    <w:p w:rsidR="000D5DB5" w:rsidRPr="0007641B" w:rsidRDefault="000D5DB5" w:rsidP="000D5DB5">
      <w:pPr>
        <w:tabs>
          <w:tab w:val="left" w:pos="1440"/>
          <w:tab w:val="left" w:pos="2880"/>
        </w:tabs>
        <w:jc w:val="both"/>
        <w:rPr>
          <w:rFonts w:asciiTheme="majorHAnsi" w:hAnsiTheme="majorHAnsi" w:cs="Arial"/>
          <w:color w:val="000000"/>
        </w:rPr>
      </w:pPr>
      <w:r w:rsidRPr="0007641B">
        <w:rPr>
          <w:rFonts w:asciiTheme="majorHAnsi" w:hAnsiTheme="majorHAnsi" w:cs="Arial"/>
          <w:color w:val="000000"/>
        </w:rPr>
        <w:t>O Prefeito Municipal</w:t>
      </w:r>
      <w:r w:rsidRPr="0007641B">
        <w:rPr>
          <w:rFonts w:asciiTheme="majorHAnsi" w:hAnsiTheme="majorHAnsi" w:cs="Arial"/>
          <w:b/>
          <w:color w:val="000000"/>
        </w:rPr>
        <w:t xml:space="preserve"> </w:t>
      </w:r>
      <w:r w:rsidRPr="0007641B">
        <w:rPr>
          <w:rFonts w:asciiTheme="majorHAnsi" w:hAnsiTheme="majorHAnsi" w:cs="Arial"/>
          <w:color w:val="000000"/>
        </w:rPr>
        <w:t>de Porto Murtinho, Estado de Mato Grosso do Sul, no uso de suas atribuições legais, faz saber que a Câmara Municipal aprovou e ele sanciona e promulga a seguinte lei:</w:t>
      </w:r>
    </w:p>
    <w:p w:rsidR="000D5DB5" w:rsidRPr="0007641B" w:rsidRDefault="000D5DB5" w:rsidP="000D5DB5">
      <w:pPr>
        <w:jc w:val="both"/>
        <w:rPr>
          <w:rFonts w:asciiTheme="majorHAnsi" w:hAnsiTheme="majorHAnsi" w:cs="Arial"/>
          <w:color w:val="000000"/>
        </w:rPr>
      </w:pPr>
    </w:p>
    <w:p w:rsidR="000D5DB5" w:rsidRPr="0007641B" w:rsidRDefault="000D5DB5" w:rsidP="000D5DB5">
      <w:pPr>
        <w:ind w:firstLine="1440"/>
        <w:jc w:val="both"/>
        <w:rPr>
          <w:rFonts w:asciiTheme="majorHAnsi" w:hAnsiTheme="majorHAnsi" w:cs="Arial"/>
          <w:color w:val="000000"/>
        </w:rPr>
      </w:pPr>
    </w:p>
    <w:p w:rsidR="000D5DB5" w:rsidRPr="0007641B" w:rsidRDefault="000D5DB5" w:rsidP="000D5DB5">
      <w:pPr>
        <w:jc w:val="both"/>
        <w:rPr>
          <w:rFonts w:asciiTheme="majorHAnsi" w:hAnsiTheme="majorHAnsi" w:cs="Arial"/>
          <w:color w:val="000000"/>
        </w:rPr>
      </w:pPr>
      <w:r w:rsidRPr="0007641B">
        <w:rPr>
          <w:rFonts w:asciiTheme="majorHAnsi" w:hAnsiTheme="majorHAnsi" w:cs="Arial"/>
          <w:b/>
          <w:color w:val="000000"/>
        </w:rPr>
        <w:t>Art. 1º.</w:t>
      </w:r>
      <w:r w:rsidRPr="0007641B">
        <w:rPr>
          <w:rFonts w:asciiTheme="majorHAnsi" w:hAnsiTheme="majorHAnsi" w:cs="Arial"/>
          <w:color w:val="000000"/>
        </w:rPr>
        <w:t xml:space="preserve"> A Lei Complementar Municipal nº 021, de 20 de dezembro de 2006</w:t>
      </w:r>
      <w:r w:rsidRPr="0007641B">
        <w:rPr>
          <w:rFonts w:asciiTheme="majorHAnsi" w:hAnsiTheme="majorHAnsi" w:cs="Arial"/>
        </w:rPr>
        <w:t xml:space="preserve">, </w:t>
      </w:r>
      <w:r w:rsidRPr="0007641B">
        <w:rPr>
          <w:rFonts w:asciiTheme="majorHAnsi" w:hAnsiTheme="majorHAnsi" w:cs="Arial"/>
          <w:color w:val="000000"/>
        </w:rPr>
        <w:t>passa vigorar com as seguintes alterações:</w:t>
      </w:r>
    </w:p>
    <w:p w:rsidR="000D5DB5" w:rsidRPr="0007641B" w:rsidRDefault="000D5DB5" w:rsidP="000D5DB5">
      <w:pPr>
        <w:ind w:firstLine="1440"/>
        <w:jc w:val="both"/>
        <w:rPr>
          <w:rFonts w:asciiTheme="majorHAnsi" w:hAnsiTheme="majorHAnsi" w:cs="Arial"/>
          <w:color w:val="000000"/>
        </w:rPr>
      </w:pPr>
    </w:p>
    <w:p w:rsidR="000D5DB5" w:rsidRPr="0007641B" w:rsidRDefault="000D5DB5" w:rsidP="000D5DB5">
      <w:pPr>
        <w:ind w:left="1416"/>
        <w:jc w:val="both"/>
        <w:rPr>
          <w:rFonts w:asciiTheme="majorHAnsi" w:hAnsiTheme="majorHAnsi" w:cs="Arial"/>
        </w:rPr>
      </w:pPr>
      <w:r w:rsidRPr="0007641B">
        <w:rPr>
          <w:rFonts w:asciiTheme="majorHAnsi" w:hAnsiTheme="majorHAnsi" w:cs="Arial"/>
          <w:color w:val="000000"/>
        </w:rPr>
        <w:t xml:space="preserve">Art. 19. A contribuição previdenciária referente ao custo normal e custo suplementar do Município de Porto Murtinho/MS, através dos órgãos dos poderes Executivo e Legislativo, suas autarquias e fundações, é constituída de recursos oriundos do orçamento, </w:t>
      </w:r>
      <w:r w:rsidRPr="0007641B">
        <w:rPr>
          <w:rFonts w:asciiTheme="majorHAnsi" w:hAnsiTheme="majorHAnsi" w:cs="Arial"/>
        </w:rPr>
        <w:t>calculada sobre o total mensal da base de contribuição dos servidores segurados do sistema, na forma prevista no §1º do artigo 20, em conformidade com o plano de custeio para a cobertura dos benefícios previdenciários estabelecido na avaliação atuarial.</w:t>
      </w:r>
    </w:p>
    <w:p w:rsidR="000D5DB5" w:rsidRPr="0007641B" w:rsidRDefault="000D5DB5" w:rsidP="000D5DB5">
      <w:pPr>
        <w:ind w:left="1416"/>
        <w:jc w:val="both"/>
        <w:rPr>
          <w:rFonts w:asciiTheme="majorHAnsi" w:hAnsiTheme="majorHAnsi" w:cs="Arial"/>
        </w:rPr>
      </w:pPr>
    </w:p>
    <w:p w:rsidR="000D5DB5" w:rsidRPr="0007641B" w:rsidRDefault="000D5DB5" w:rsidP="000D5DB5">
      <w:pPr>
        <w:autoSpaceDE w:val="0"/>
        <w:autoSpaceDN w:val="0"/>
        <w:adjustRightInd w:val="0"/>
        <w:ind w:left="1416"/>
        <w:jc w:val="both"/>
        <w:rPr>
          <w:rFonts w:asciiTheme="majorHAnsi" w:hAnsiTheme="majorHAnsi" w:cs="Arial"/>
        </w:rPr>
      </w:pPr>
      <w:r w:rsidRPr="0007641B">
        <w:rPr>
          <w:rFonts w:asciiTheme="majorHAnsi" w:hAnsiTheme="majorHAnsi" w:cs="Arial"/>
        </w:rPr>
        <w:t xml:space="preserve">§1º. A avaliação atuarial prevista no </w:t>
      </w:r>
      <w:r w:rsidRPr="0007641B">
        <w:rPr>
          <w:rFonts w:asciiTheme="majorHAnsi" w:hAnsiTheme="majorHAnsi" w:cs="Arial"/>
          <w:i/>
        </w:rPr>
        <w:t>caput</w:t>
      </w:r>
      <w:r w:rsidRPr="0007641B">
        <w:rPr>
          <w:rFonts w:asciiTheme="majorHAnsi" w:hAnsiTheme="majorHAnsi" w:cs="Arial"/>
        </w:rPr>
        <w:t xml:space="preserve"> será revista anualmente, de forma a garantir o equilíbrio financeiro e atuarial, e deverá atender aos parâmetros técnico-atuariais estabelecidos pela Secretaria de Previdência do Ministério da Economia, em especial a Portaria nº 464, de 19 de novembro de 2018 do Ministério da Fazenda, ou outra norma que venha a substitui-la.</w:t>
      </w:r>
    </w:p>
    <w:p w:rsidR="000D5DB5" w:rsidRPr="0007641B" w:rsidRDefault="000D5DB5" w:rsidP="000D5DB5">
      <w:pPr>
        <w:autoSpaceDE w:val="0"/>
        <w:autoSpaceDN w:val="0"/>
        <w:adjustRightInd w:val="0"/>
        <w:ind w:left="2832"/>
        <w:jc w:val="both"/>
        <w:rPr>
          <w:rFonts w:asciiTheme="majorHAnsi" w:hAnsiTheme="majorHAnsi" w:cs="Arial"/>
        </w:rPr>
      </w:pPr>
    </w:p>
    <w:p w:rsidR="000D5DB5" w:rsidRPr="0007641B" w:rsidRDefault="000D5DB5" w:rsidP="000D5DB5">
      <w:pPr>
        <w:ind w:left="1416"/>
        <w:jc w:val="both"/>
        <w:rPr>
          <w:rFonts w:asciiTheme="majorHAnsi" w:hAnsiTheme="majorHAnsi" w:cs="Arial"/>
        </w:rPr>
      </w:pPr>
      <w:r w:rsidRPr="0007641B">
        <w:rPr>
          <w:rFonts w:asciiTheme="majorHAnsi" w:hAnsiTheme="majorHAnsi" w:cs="Arial"/>
        </w:rPr>
        <w:t xml:space="preserve">2º. A contribuição previdenciária de responsabilidade do Ente de que trata o </w:t>
      </w:r>
      <w:r w:rsidRPr="0007641B">
        <w:rPr>
          <w:rFonts w:asciiTheme="majorHAnsi" w:hAnsiTheme="majorHAnsi" w:cs="Arial"/>
          <w:i/>
        </w:rPr>
        <w:t>caput</w:t>
      </w:r>
      <w:r w:rsidRPr="0007641B">
        <w:rPr>
          <w:rFonts w:asciiTheme="majorHAnsi" w:hAnsiTheme="majorHAnsi" w:cs="Arial"/>
        </w:rPr>
        <w:t>, será recolhida para o PORTO MURTINHO PREV no prazo estabelecido no artigo 24, conforme decreto a ser expedido pelo Chefe do Poder Executivo, atendendo especificamente os percentuais das alíquotas estabelecidas no plano de custeio da respectiva avaliação atuarial.</w:t>
      </w:r>
    </w:p>
    <w:p w:rsidR="000D5DB5" w:rsidRPr="0007641B" w:rsidRDefault="000D5DB5" w:rsidP="000D5DB5">
      <w:pPr>
        <w:ind w:left="1416"/>
        <w:jc w:val="both"/>
        <w:rPr>
          <w:rFonts w:asciiTheme="majorHAnsi" w:hAnsiTheme="majorHAnsi" w:cs="Arial"/>
        </w:rPr>
      </w:pPr>
    </w:p>
    <w:p w:rsidR="000D5DB5" w:rsidRPr="0007641B" w:rsidRDefault="000D5DB5" w:rsidP="000D5DB5">
      <w:pPr>
        <w:ind w:left="1416"/>
        <w:jc w:val="both"/>
        <w:rPr>
          <w:rFonts w:asciiTheme="majorHAnsi" w:hAnsiTheme="majorHAnsi" w:cs="Arial"/>
          <w:color w:val="000000"/>
          <w:shd w:val="clear" w:color="auto" w:fill="FFFFFF"/>
        </w:rPr>
      </w:pPr>
      <w:r w:rsidRPr="0007641B">
        <w:rPr>
          <w:rFonts w:asciiTheme="majorHAnsi" w:hAnsiTheme="majorHAnsi" w:cs="Arial"/>
          <w:color w:val="000000"/>
        </w:rPr>
        <w:t xml:space="preserve">§3º. A alíquota da contribuição previdenciária de que trata o caput relativa ao custo normal, </w:t>
      </w:r>
      <w:r w:rsidRPr="0007641B">
        <w:rPr>
          <w:rFonts w:asciiTheme="majorHAnsi" w:hAnsiTheme="majorHAnsi" w:cs="Arial"/>
          <w:color w:val="000000"/>
          <w:shd w:val="clear" w:color="auto" w:fill="FFFFFF"/>
        </w:rPr>
        <w:t>não poderá ser inferior à alíquota da contribuição previdenciária estabelecida para o servidor ativo, nem superior ao dobro desta.</w:t>
      </w:r>
    </w:p>
    <w:p w:rsidR="000D5DB5" w:rsidRPr="0007641B" w:rsidRDefault="000D5DB5" w:rsidP="000D5DB5">
      <w:pPr>
        <w:ind w:left="1416"/>
        <w:jc w:val="both"/>
        <w:rPr>
          <w:rFonts w:asciiTheme="majorHAnsi" w:hAnsiTheme="majorHAnsi" w:cs="Arial"/>
          <w:color w:val="000000"/>
          <w:shd w:val="clear" w:color="auto" w:fill="FFFFFF"/>
        </w:rPr>
      </w:pPr>
    </w:p>
    <w:p w:rsidR="000D5DB5" w:rsidRPr="0007641B" w:rsidRDefault="000D5DB5" w:rsidP="000D5DB5">
      <w:pPr>
        <w:ind w:left="1416"/>
        <w:jc w:val="both"/>
        <w:rPr>
          <w:rFonts w:asciiTheme="majorHAnsi" w:hAnsiTheme="majorHAnsi" w:cs="Arial"/>
        </w:rPr>
      </w:pPr>
      <w:r w:rsidRPr="0007641B">
        <w:rPr>
          <w:rFonts w:asciiTheme="majorHAnsi" w:hAnsiTheme="majorHAnsi" w:cs="Arial"/>
          <w:color w:val="000000"/>
          <w:shd w:val="clear" w:color="auto" w:fill="FFFFFF"/>
        </w:rPr>
        <w:t xml:space="preserve">Art. 20. </w:t>
      </w:r>
      <w:r w:rsidRPr="0007641B">
        <w:rPr>
          <w:rFonts w:asciiTheme="majorHAnsi" w:hAnsiTheme="majorHAnsi" w:cs="Arial"/>
        </w:rPr>
        <w:t>A contribuição dos segurados ativos será de 14% (quatorze por cento), da base de remuneração de contribuição, em iguais parâmetros do artigo anterior.</w:t>
      </w:r>
    </w:p>
    <w:p w:rsidR="000D5DB5" w:rsidRPr="0007641B" w:rsidRDefault="000D5DB5" w:rsidP="000D5DB5">
      <w:pPr>
        <w:ind w:left="1416"/>
        <w:jc w:val="both"/>
        <w:rPr>
          <w:rFonts w:asciiTheme="majorHAnsi" w:hAnsiTheme="majorHAnsi" w:cs="Arial"/>
        </w:rPr>
      </w:pPr>
    </w:p>
    <w:p w:rsidR="000D5DB5" w:rsidRPr="0007641B" w:rsidRDefault="000D5DB5" w:rsidP="000D5DB5">
      <w:pPr>
        <w:ind w:left="1416"/>
        <w:jc w:val="both"/>
        <w:rPr>
          <w:rFonts w:asciiTheme="majorHAnsi" w:hAnsiTheme="majorHAnsi" w:cs="Arial"/>
        </w:rPr>
      </w:pPr>
      <w:r w:rsidRPr="0007641B">
        <w:rPr>
          <w:rFonts w:asciiTheme="majorHAnsi" w:hAnsiTheme="majorHAnsi" w:cs="Arial"/>
        </w:rPr>
        <w:lastRenderedPageBreak/>
        <w:t>Art. 23. A contribuição previdenciária de que trata o Parágrafo Terceiro do artigo 6º, será de 14% (quatorze por cento) incidente sobre a parcela dos benefícios que supere o valor do limite máximo estabelecido para os benefícios do Regime Geral de Previdência Social.</w:t>
      </w:r>
    </w:p>
    <w:p w:rsidR="000D5DB5" w:rsidRPr="0007641B" w:rsidRDefault="000D5DB5" w:rsidP="000D5DB5">
      <w:pPr>
        <w:ind w:left="1416"/>
        <w:jc w:val="both"/>
        <w:rPr>
          <w:rFonts w:asciiTheme="majorHAnsi" w:hAnsiTheme="majorHAnsi" w:cs="Arial"/>
        </w:rPr>
      </w:pPr>
    </w:p>
    <w:p w:rsidR="000D5DB5" w:rsidRPr="0007641B" w:rsidRDefault="000D5DB5" w:rsidP="000D5DB5">
      <w:pPr>
        <w:ind w:left="1416"/>
        <w:jc w:val="both"/>
        <w:rPr>
          <w:rFonts w:asciiTheme="majorHAnsi" w:hAnsiTheme="majorHAnsi" w:cs="Arial"/>
        </w:rPr>
      </w:pPr>
      <w:r w:rsidRPr="0007641B">
        <w:rPr>
          <w:rFonts w:asciiTheme="majorHAnsi" w:hAnsiTheme="majorHAnsi" w:cs="Arial"/>
        </w:rPr>
        <w:t>§1º. A contribuição previdenciária prevista no caput incidirá apenas sobre as parcelas de proventos de aposentadoria e pensão que superem o valor do dobro do limite máximo estabelecido para os benefícios do Regime Geral de Previdência Social, quando o beneficiário for portador de doença incapacitante prevista no §6º do artigo 46.</w:t>
      </w:r>
    </w:p>
    <w:p w:rsidR="000D5DB5" w:rsidRPr="0007641B" w:rsidRDefault="000D5DB5" w:rsidP="000D5DB5">
      <w:pPr>
        <w:ind w:left="1416"/>
        <w:jc w:val="both"/>
        <w:rPr>
          <w:rFonts w:asciiTheme="majorHAnsi" w:hAnsiTheme="majorHAnsi" w:cs="Arial"/>
        </w:rPr>
      </w:pPr>
    </w:p>
    <w:p w:rsidR="000D5DB5" w:rsidRPr="0007641B" w:rsidRDefault="000D5DB5" w:rsidP="000D5DB5">
      <w:pPr>
        <w:autoSpaceDE w:val="0"/>
        <w:autoSpaceDN w:val="0"/>
        <w:adjustRightInd w:val="0"/>
        <w:ind w:left="1416"/>
        <w:jc w:val="both"/>
        <w:rPr>
          <w:rFonts w:asciiTheme="majorHAnsi" w:hAnsiTheme="majorHAnsi" w:cs="Arial"/>
        </w:rPr>
      </w:pPr>
      <w:r w:rsidRPr="0007641B">
        <w:rPr>
          <w:rFonts w:asciiTheme="majorHAnsi" w:hAnsiTheme="majorHAnsi" w:cs="Arial"/>
          <w:bCs/>
        </w:rPr>
        <w:t xml:space="preserve">Art. 55. </w:t>
      </w:r>
      <w:r w:rsidRPr="0007641B">
        <w:rPr>
          <w:rFonts w:asciiTheme="majorHAnsi" w:hAnsiTheme="majorHAnsi" w:cs="Arial"/>
        </w:rPr>
        <w:t>A pensão por morte consistirá numa importância mensal conferida ao conjunto dos dependentes do segurado, quando do seu falecimento, correspondente à:</w:t>
      </w:r>
    </w:p>
    <w:p w:rsidR="000D5DB5" w:rsidRPr="0007641B" w:rsidRDefault="000D5DB5" w:rsidP="000D5DB5">
      <w:pPr>
        <w:autoSpaceDE w:val="0"/>
        <w:autoSpaceDN w:val="0"/>
        <w:adjustRightInd w:val="0"/>
        <w:ind w:left="1416"/>
        <w:jc w:val="both"/>
        <w:rPr>
          <w:rFonts w:asciiTheme="majorHAnsi" w:hAnsiTheme="majorHAnsi" w:cs="Arial"/>
        </w:rPr>
      </w:pPr>
    </w:p>
    <w:p w:rsidR="000D5DB5" w:rsidRPr="0007641B" w:rsidRDefault="000D5DB5" w:rsidP="000D5DB5">
      <w:pPr>
        <w:autoSpaceDE w:val="0"/>
        <w:autoSpaceDN w:val="0"/>
        <w:adjustRightInd w:val="0"/>
        <w:ind w:left="1416"/>
        <w:jc w:val="both"/>
        <w:rPr>
          <w:rFonts w:asciiTheme="majorHAnsi" w:hAnsiTheme="majorHAnsi" w:cs="Arial"/>
        </w:rPr>
      </w:pPr>
      <w:r w:rsidRPr="0007641B">
        <w:rPr>
          <w:rFonts w:asciiTheme="majorHAnsi" w:hAnsiTheme="majorHAnsi" w:cs="Arial"/>
        </w:rPr>
        <w:t>I – totalidade dos proventos percebidos pelo aposentado na data anterior à do óbito, até o valor fixado como teto para os benefícios pagos pelo Regime Geral de Previdência Social - RGPS, acrescido de setenta por cento da parcela excedente a este limite; ou</w:t>
      </w:r>
    </w:p>
    <w:p w:rsidR="000D5DB5" w:rsidRPr="0007641B" w:rsidRDefault="000D5DB5" w:rsidP="000D5DB5">
      <w:pPr>
        <w:autoSpaceDE w:val="0"/>
        <w:autoSpaceDN w:val="0"/>
        <w:adjustRightInd w:val="0"/>
        <w:ind w:left="1416"/>
        <w:jc w:val="both"/>
        <w:rPr>
          <w:rFonts w:asciiTheme="majorHAnsi" w:hAnsiTheme="majorHAnsi" w:cs="Arial"/>
          <w:bCs/>
          <w:i/>
          <w:iCs/>
        </w:rPr>
      </w:pPr>
    </w:p>
    <w:p w:rsidR="000D5DB5" w:rsidRPr="0007641B" w:rsidRDefault="000D5DB5" w:rsidP="000D5DB5">
      <w:pPr>
        <w:autoSpaceDE w:val="0"/>
        <w:autoSpaceDN w:val="0"/>
        <w:adjustRightInd w:val="0"/>
        <w:ind w:left="1416"/>
        <w:jc w:val="both"/>
        <w:rPr>
          <w:rFonts w:asciiTheme="majorHAnsi" w:hAnsiTheme="majorHAnsi" w:cs="Arial"/>
        </w:rPr>
      </w:pPr>
      <w:r w:rsidRPr="0007641B">
        <w:rPr>
          <w:rFonts w:asciiTheme="majorHAnsi" w:hAnsiTheme="majorHAnsi" w:cs="Arial"/>
        </w:rPr>
        <w:t>II – totalidade da remuneração do servidor no cargo efetivo na data anterior à do óbito, até o valor fixado como teto para os benefícios pagos pelo Regime Geral de Previdência Social - RGPS, acrescido de setenta por cento da parcela excedente a este limite, se o falecimento ocorrer quando o servidor ainda estiver em atividade.</w:t>
      </w:r>
    </w:p>
    <w:p w:rsidR="000D5DB5" w:rsidRPr="0007641B" w:rsidRDefault="000D5DB5" w:rsidP="000D5DB5">
      <w:pPr>
        <w:ind w:left="1416"/>
        <w:jc w:val="both"/>
        <w:rPr>
          <w:rFonts w:asciiTheme="majorHAnsi" w:hAnsiTheme="majorHAnsi" w:cs="Arial"/>
        </w:rPr>
      </w:pPr>
    </w:p>
    <w:p w:rsidR="000D5DB5" w:rsidRPr="0007641B" w:rsidRDefault="000D5DB5" w:rsidP="000D5DB5">
      <w:pPr>
        <w:autoSpaceDE w:val="0"/>
        <w:autoSpaceDN w:val="0"/>
        <w:adjustRightInd w:val="0"/>
        <w:ind w:left="1416"/>
        <w:jc w:val="both"/>
        <w:rPr>
          <w:rFonts w:asciiTheme="majorHAnsi" w:hAnsiTheme="majorHAnsi" w:cs="Arial"/>
          <w:color w:val="000000"/>
          <w:shd w:val="clear" w:color="auto" w:fill="FFFFFF"/>
        </w:rPr>
      </w:pPr>
      <w:r w:rsidRPr="0007641B">
        <w:rPr>
          <w:rFonts w:asciiTheme="majorHAnsi" w:hAnsiTheme="majorHAnsi" w:cs="Arial"/>
          <w:color w:val="000000"/>
          <w:shd w:val="clear" w:color="auto" w:fill="FFFFFF"/>
        </w:rPr>
        <w:t>Art. 56. A pensão por morte será devida ao conjunto dos dependentes do segurado que falecer, a contar da data:</w:t>
      </w:r>
    </w:p>
    <w:p w:rsidR="000D5DB5" w:rsidRPr="0007641B" w:rsidRDefault="000D5DB5" w:rsidP="000D5DB5">
      <w:pPr>
        <w:autoSpaceDE w:val="0"/>
        <w:autoSpaceDN w:val="0"/>
        <w:adjustRightInd w:val="0"/>
        <w:ind w:left="1416"/>
        <w:jc w:val="both"/>
        <w:rPr>
          <w:rFonts w:asciiTheme="majorHAnsi" w:hAnsiTheme="majorHAnsi" w:cs="Arial"/>
          <w:color w:val="000000"/>
          <w:shd w:val="clear" w:color="auto" w:fill="FFFFFF"/>
        </w:rPr>
      </w:pPr>
    </w:p>
    <w:p w:rsidR="000D5DB5" w:rsidRPr="0007641B" w:rsidRDefault="000D5DB5" w:rsidP="000D5DB5">
      <w:pPr>
        <w:autoSpaceDE w:val="0"/>
        <w:autoSpaceDN w:val="0"/>
        <w:adjustRightInd w:val="0"/>
        <w:ind w:left="1416"/>
        <w:jc w:val="both"/>
        <w:rPr>
          <w:rFonts w:asciiTheme="majorHAnsi" w:hAnsiTheme="majorHAnsi" w:cs="Arial"/>
          <w:color w:val="000000"/>
          <w:shd w:val="clear" w:color="auto" w:fill="FFFFFF"/>
        </w:rPr>
      </w:pPr>
      <w:r w:rsidRPr="0007641B">
        <w:rPr>
          <w:rFonts w:asciiTheme="majorHAnsi" w:hAnsiTheme="majorHAnsi" w:cs="Arial"/>
          <w:color w:val="000000"/>
          <w:shd w:val="clear" w:color="auto" w:fill="FFFFFF"/>
        </w:rPr>
        <w:t>I - do óbito, quando requerida em até 180 (cento e oitenta) dias após o óbito, para os filhos menores de 16 (dezesseis) anos, ou em até 90 (noventa) dias após o óbito, para os demais dependentes;</w:t>
      </w:r>
    </w:p>
    <w:p w:rsidR="000D5DB5" w:rsidRPr="0007641B" w:rsidRDefault="000D5DB5" w:rsidP="000D5DB5">
      <w:pPr>
        <w:autoSpaceDE w:val="0"/>
        <w:autoSpaceDN w:val="0"/>
        <w:adjustRightInd w:val="0"/>
        <w:ind w:left="1416"/>
        <w:jc w:val="both"/>
        <w:rPr>
          <w:rFonts w:asciiTheme="majorHAnsi" w:hAnsiTheme="majorHAnsi" w:cs="Arial"/>
          <w:color w:val="000000"/>
          <w:shd w:val="clear" w:color="auto" w:fill="FFFFFF"/>
        </w:rPr>
      </w:pPr>
    </w:p>
    <w:p w:rsidR="000D5DB5" w:rsidRPr="0007641B" w:rsidRDefault="000D5DB5" w:rsidP="000D5DB5">
      <w:pPr>
        <w:autoSpaceDE w:val="0"/>
        <w:autoSpaceDN w:val="0"/>
        <w:adjustRightInd w:val="0"/>
        <w:ind w:left="1416"/>
        <w:jc w:val="both"/>
        <w:rPr>
          <w:rFonts w:asciiTheme="majorHAnsi" w:hAnsiTheme="majorHAnsi" w:cs="Arial"/>
          <w:color w:val="000000"/>
          <w:shd w:val="clear" w:color="auto" w:fill="FFFFFF"/>
        </w:rPr>
      </w:pPr>
      <w:r w:rsidRPr="0007641B">
        <w:rPr>
          <w:rFonts w:asciiTheme="majorHAnsi" w:hAnsiTheme="majorHAnsi" w:cs="Arial"/>
          <w:color w:val="000000"/>
          <w:shd w:val="clear" w:color="auto" w:fill="FFFFFF"/>
        </w:rPr>
        <w:t>II - do requerimento, quando requerida após o prazo previsto no inciso anterior;</w:t>
      </w:r>
    </w:p>
    <w:p w:rsidR="000D5DB5" w:rsidRPr="0007641B" w:rsidRDefault="000D5DB5" w:rsidP="000D5DB5">
      <w:pPr>
        <w:autoSpaceDE w:val="0"/>
        <w:autoSpaceDN w:val="0"/>
        <w:adjustRightInd w:val="0"/>
        <w:ind w:left="1416"/>
        <w:jc w:val="both"/>
        <w:rPr>
          <w:rFonts w:asciiTheme="majorHAnsi" w:hAnsiTheme="majorHAnsi" w:cs="Arial"/>
          <w:color w:val="000000"/>
          <w:shd w:val="clear" w:color="auto" w:fill="FFFFFF"/>
        </w:rPr>
      </w:pPr>
    </w:p>
    <w:p w:rsidR="000D5DB5" w:rsidRPr="0007641B" w:rsidRDefault="000D5DB5" w:rsidP="000D5DB5">
      <w:pPr>
        <w:ind w:left="708"/>
        <w:jc w:val="both"/>
        <w:rPr>
          <w:rFonts w:asciiTheme="majorHAnsi" w:hAnsiTheme="majorHAnsi" w:cs="Arial"/>
          <w:color w:val="000000"/>
          <w:shd w:val="clear" w:color="auto" w:fill="FFFFFF"/>
        </w:rPr>
      </w:pPr>
      <w:r w:rsidRPr="0007641B">
        <w:rPr>
          <w:rFonts w:asciiTheme="majorHAnsi" w:hAnsiTheme="majorHAnsi" w:cs="Arial"/>
          <w:color w:val="000000"/>
          <w:shd w:val="clear" w:color="auto" w:fill="FFFFFF"/>
        </w:rPr>
        <w:t xml:space="preserve"> </w:t>
      </w:r>
      <w:r w:rsidRPr="0007641B">
        <w:rPr>
          <w:rFonts w:asciiTheme="majorHAnsi" w:hAnsiTheme="majorHAnsi" w:cs="Arial"/>
          <w:color w:val="000000"/>
          <w:shd w:val="clear" w:color="auto" w:fill="FFFFFF"/>
        </w:rPr>
        <w:tab/>
        <w:t>III - da decisão judicial, no caso de morte presumida.</w:t>
      </w:r>
    </w:p>
    <w:p w:rsidR="000D5DB5" w:rsidRPr="0007641B" w:rsidRDefault="000D5DB5" w:rsidP="000D5DB5">
      <w:pPr>
        <w:ind w:left="708"/>
        <w:jc w:val="both"/>
        <w:rPr>
          <w:rFonts w:asciiTheme="majorHAnsi" w:hAnsiTheme="majorHAnsi" w:cs="Arial"/>
          <w:color w:val="000000"/>
          <w:shd w:val="clear" w:color="auto" w:fill="FFFFFF"/>
        </w:rPr>
      </w:pPr>
    </w:p>
    <w:p w:rsidR="000D5DB5" w:rsidRPr="0007641B" w:rsidRDefault="000D5DB5" w:rsidP="000D5DB5">
      <w:pPr>
        <w:ind w:left="1416"/>
        <w:jc w:val="both"/>
        <w:rPr>
          <w:rFonts w:asciiTheme="majorHAnsi" w:hAnsiTheme="majorHAnsi" w:cs="Arial"/>
          <w:color w:val="000000"/>
          <w:shd w:val="clear" w:color="auto" w:fill="FFFFFF"/>
        </w:rPr>
      </w:pPr>
      <w:r w:rsidRPr="0007641B">
        <w:rPr>
          <w:rFonts w:asciiTheme="majorHAnsi" w:hAnsiTheme="majorHAnsi" w:cs="Arial"/>
          <w:color w:val="000000"/>
          <w:shd w:val="clear" w:color="auto" w:fill="FFFFFF"/>
        </w:rPr>
        <w:t>Parágrafo Único - Perde o direito à pensão por morte o condenado criminalmente por sentença com trânsito em julgado, como autor, coautor ou partícipe de homicídio doloso, ou de tentativa desse crime, cometido contra a pessoa do segurado, ressalvados os absolutamente incapazes e os inimputáveis. </w:t>
      </w:r>
    </w:p>
    <w:p w:rsidR="000D5DB5" w:rsidRPr="0007641B" w:rsidRDefault="000D5DB5" w:rsidP="000D5DB5">
      <w:pPr>
        <w:ind w:left="708"/>
        <w:jc w:val="both"/>
        <w:rPr>
          <w:rFonts w:asciiTheme="majorHAnsi" w:hAnsiTheme="majorHAnsi" w:cs="Arial"/>
        </w:rPr>
      </w:pPr>
    </w:p>
    <w:p w:rsidR="000D5DB5" w:rsidRPr="0007641B" w:rsidRDefault="000D5DB5" w:rsidP="000D5DB5">
      <w:pPr>
        <w:ind w:left="1416"/>
        <w:jc w:val="both"/>
        <w:rPr>
          <w:rFonts w:asciiTheme="majorHAnsi" w:hAnsiTheme="majorHAnsi" w:cs="Arial"/>
        </w:rPr>
      </w:pPr>
      <w:r w:rsidRPr="0007641B">
        <w:rPr>
          <w:rFonts w:asciiTheme="majorHAnsi" w:hAnsiTheme="majorHAnsi" w:cs="Arial"/>
          <w:bCs/>
        </w:rPr>
        <w:t xml:space="preserve">Art. 57. </w:t>
      </w:r>
      <w:r w:rsidRPr="0007641B">
        <w:rPr>
          <w:rFonts w:asciiTheme="majorHAnsi" w:hAnsiTheme="majorHAnsi" w:cs="Arial"/>
        </w:rPr>
        <w:t xml:space="preserve">A pensão será rateada entre todos os dependentes em partes iguais e não será protelada pela falta de habilitação de outro possível dependente, e qualquer inscrição ou habilitação posterior, que importe </w:t>
      </w:r>
      <w:r w:rsidRPr="0007641B">
        <w:rPr>
          <w:rFonts w:asciiTheme="majorHAnsi" w:hAnsiTheme="majorHAnsi" w:cs="Arial"/>
        </w:rPr>
        <w:lastRenderedPageBreak/>
        <w:t>exclusão ou inclusão de dependente, só produzirá efeito a contar da data da inscrição ou da habilitação.</w:t>
      </w:r>
    </w:p>
    <w:p w:rsidR="000D5DB5" w:rsidRPr="0007641B" w:rsidRDefault="000D5DB5" w:rsidP="000D5DB5">
      <w:pPr>
        <w:ind w:left="1416"/>
        <w:jc w:val="both"/>
        <w:rPr>
          <w:rFonts w:asciiTheme="majorHAnsi" w:hAnsiTheme="majorHAnsi" w:cs="Arial"/>
        </w:rPr>
      </w:pPr>
    </w:p>
    <w:p w:rsidR="000D5DB5" w:rsidRPr="0007641B" w:rsidRDefault="000D5DB5" w:rsidP="000D5DB5">
      <w:pPr>
        <w:autoSpaceDE w:val="0"/>
        <w:autoSpaceDN w:val="0"/>
        <w:adjustRightInd w:val="0"/>
        <w:ind w:left="1416"/>
        <w:jc w:val="both"/>
        <w:rPr>
          <w:rFonts w:asciiTheme="majorHAnsi" w:hAnsiTheme="majorHAnsi" w:cs="Arial"/>
        </w:rPr>
      </w:pPr>
      <w:r w:rsidRPr="0007641B">
        <w:rPr>
          <w:rFonts w:asciiTheme="majorHAnsi" w:hAnsiTheme="majorHAnsi" w:cs="Arial"/>
          <w:bCs/>
        </w:rPr>
        <w:t xml:space="preserve">§1º. </w:t>
      </w:r>
      <w:r w:rsidRPr="0007641B">
        <w:rPr>
          <w:rFonts w:asciiTheme="majorHAnsi" w:hAnsiTheme="majorHAnsi" w:cs="Arial"/>
        </w:rPr>
        <w:t>O cônjuge ausente não exclui do direito à pensão por morte o companheiro ou a companheira, que somente fará jus ao benefício a partir da data de sua habilitação e mediante prova de dependência econômica.</w:t>
      </w:r>
    </w:p>
    <w:p w:rsidR="000D5DB5" w:rsidRPr="0007641B" w:rsidRDefault="000D5DB5" w:rsidP="000D5DB5">
      <w:pPr>
        <w:autoSpaceDE w:val="0"/>
        <w:autoSpaceDN w:val="0"/>
        <w:adjustRightInd w:val="0"/>
        <w:ind w:left="1416"/>
        <w:jc w:val="both"/>
        <w:rPr>
          <w:rFonts w:asciiTheme="majorHAnsi" w:hAnsiTheme="majorHAnsi" w:cs="Arial"/>
        </w:rPr>
      </w:pPr>
    </w:p>
    <w:p w:rsidR="000D5DB5" w:rsidRPr="0007641B" w:rsidRDefault="000D5DB5" w:rsidP="000D5DB5">
      <w:pPr>
        <w:autoSpaceDE w:val="0"/>
        <w:autoSpaceDN w:val="0"/>
        <w:adjustRightInd w:val="0"/>
        <w:ind w:left="1416"/>
        <w:jc w:val="both"/>
        <w:rPr>
          <w:rFonts w:asciiTheme="majorHAnsi" w:hAnsiTheme="majorHAnsi" w:cs="Arial"/>
        </w:rPr>
      </w:pPr>
      <w:r w:rsidRPr="0007641B">
        <w:rPr>
          <w:rFonts w:asciiTheme="majorHAnsi" w:hAnsiTheme="majorHAnsi" w:cs="Arial"/>
          <w:bCs/>
        </w:rPr>
        <w:t xml:space="preserve">§2º </w:t>
      </w:r>
      <w:r w:rsidRPr="0007641B">
        <w:rPr>
          <w:rFonts w:asciiTheme="majorHAnsi" w:hAnsiTheme="majorHAnsi" w:cs="Arial"/>
        </w:rPr>
        <w:t>O cônjuge divorciado ou separado judicialmente ou de fato que recebe pensão alimentícia fixada judicialmente, concorrerá em igualdade de condições com os dependentes referidos no inciso I do artigo 8º.</w:t>
      </w:r>
    </w:p>
    <w:p w:rsidR="000D5DB5" w:rsidRPr="0007641B" w:rsidRDefault="000D5DB5" w:rsidP="000D5DB5">
      <w:pPr>
        <w:autoSpaceDE w:val="0"/>
        <w:autoSpaceDN w:val="0"/>
        <w:adjustRightInd w:val="0"/>
        <w:ind w:left="1416"/>
        <w:jc w:val="both"/>
        <w:rPr>
          <w:rFonts w:asciiTheme="majorHAnsi" w:hAnsiTheme="majorHAnsi" w:cs="Arial"/>
        </w:rPr>
      </w:pPr>
    </w:p>
    <w:p w:rsidR="000D5DB5" w:rsidRPr="0007641B" w:rsidRDefault="000D5DB5" w:rsidP="000D5DB5">
      <w:pPr>
        <w:autoSpaceDE w:val="0"/>
        <w:autoSpaceDN w:val="0"/>
        <w:adjustRightInd w:val="0"/>
        <w:ind w:left="1416"/>
        <w:jc w:val="both"/>
        <w:rPr>
          <w:rFonts w:asciiTheme="majorHAnsi" w:hAnsiTheme="majorHAnsi" w:cs="Arial"/>
          <w:color w:val="000000"/>
          <w:shd w:val="clear" w:color="auto" w:fill="FFFFFF"/>
        </w:rPr>
      </w:pPr>
      <w:r w:rsidRPr="0007641B">
        <w:rPr>
          <w:rFonts w:asciiTheme="majorHAnsi" w:hAnsiTheme="majorHAnsi" w:cs="Arial"/>
          <w:color w:val="000000"/>
          <w:shd w:val="clear" w:color="auto" w:fill="FFFFFF"/>
        </w:rPr>
        <w:t>§3º. Na hipótese de o segurado falecido estar, na data de seu falecimento, obrigado por determinação judicial a pagar alimentos temporários à ex-cônjuge, ex-companheiro ou ex-companheira, a pensão por morte será devida pelo prazo remanescente na data do óbito, caso não incida outra hipótese de cancelamento anterior do benefício.</w:t>
      </w:r>
    </w:p>
    <w:p w:rsidR="000D5DB5" w:rsidRPr="0007641B" w:rsidRDefault="000D5DB5" w:rsidP="000D5DB5">
      <w:pPr>
        <w:autoSpaceDE w:val="0"/>
        <w:autoSpaceDN w:val="0"/>
        <w:adjustRightInd w:val="0"/>
        <w:ind w:left="1416"/>
        <w:jc w:val="both"/>
        <w:rPr>
          <w:rFonts w:asciiTheme="majorHAnsi" w:hAnsiTheme="majorHAnsi" w:cs="Arial"/>
          <w:color w:val="000000"/>
          <w:shd w:val="clear" w:color="auto" w:fill="FFFFFF"/>
        </w:rPr>
      </w:pPr>
    </w:p>
    <w:p w:rsidR="000D5DB5" w:rsidRPr="0007641B" w:rsidRDefault="000D5DB5" w:rsidP="000D5DB5">
      <w:pPr>
        <w:autoSpaceDE w:val="0"/>
        <w:autoSpaceDN w:val="0"/>
        <w:adjustRightInd w:val="0"/>
        <w:ind w:left="1416"/>
        <w:jc w:val="both"/>
        <w:rPr>
          <w:rFonts w:asciiTheme="majorHAnsi" w:hAnsiTheme="majorHAnsi" w:cs="Arial"/>
        </w:rPr>
      </w:pPr>
      <w:r w:rsidRPr="0007641B">
        <w:rPr>
          <w:rFonts w:asciiTheme="majorHAnsi" w:hAnsiTheme="majorHAnsi" w:cs="Arial"/>
          <w:color w:val="000000"/>
          <w:shd w:val="clear" w:color="auto" w:fill="FFFFFF"/>
        </w:rPr>
        <w:t>Art. 58. O beneficiário da pensão provisória de que trata o §3º do artigo 55, deverá anualmente declarar que o segurado permanece desaparecido, ficando obrigado a comunicar imediatamente ao gestor do PORTO MURTINHO PREVE o reaparecimento deste, sob pena de ser responsabilizado civil e criminalmente.</w:t>
      </w:r>
    </w:p>
    <w:p w:rsidR="000D5DB5" w:rsidRPr="0007641B" w:rsidRDefault="000D5DB5" w:rsidP="000D5DB5">
      <w:pPr>
        <w:autoSpaceDE w:val="0"/>
        <w:autoSpaceDN w:val="0"/>
        <w:adjustRightInd w:val="0"/>
        <w:ind w:left="1416"/>
        <w:jc w:val="both"/>
        <w:rPr>
          <w:rFonts w:asciiTheme="majorHAnsi" w:hAnsiTheme="majorHAnsi" w:cs="Arial"/>
        </w:rPr>
      </w:pPr>
    </w:p>
    <w:p w:rsidR="000D5DB5" w:rsidRPr="0007641B" w:rsidRDefault="000D5DB5" w:rsidP="000D5DB5">
      <w:pPr>
        <w:ind w:left="1416"/>
        <w:jc w:val="both"/>
        <w:rPr>
          <w:rFonts w:asciiTheme="majorHAnsi" w:hAnsiTheme="majorHAnsi" w:cs="Arial"/>
        </w:rPr>
      </w:pPr>
      <w:r w:rsidRPr="0007641B">
        <w:rPr>
          <w:rFonts w:asciiTheme="majorHAnsi" w:hAnsiTheme="majorHAnsi" w:cs="Arial"/>
        </w:rPr>
        <w:t>Art. 60. É vedada a acumulação de mais de uma pensão por morte deixada por cônjuge, companheiro ou companheira no âmbito do PORTO MURTINHO PREV, ressalvadas as pensões do mesmo instituidor decorrente do exercício de cargos acumuláveis na forma do art. 37 da Constituição Federal.</w:t>
      </w:r>
    </w:p>
    <w:p w:rsidR="000D5DB5" w:rsidRPr="0007641B" w:rsidRDefault="000D5DB5" w:rsidP="000D5DB5">
      <w:pPr>
        <w:ind w:left="2124"/>
        <w:jc w:val="both"/>
        <w:rPr>
          <w:rFonts w:asciiTheme="majorHAnsi" w:hAnsiTheme="majorHAnsi" w:cs="Arial"/>
        </w:rPr>
      </w:pPr>
    </w:p>
    <w:p w:rsidR="000D5DB5" w:rsidRPr="0007641B" w:rsidRDefault="000D5DB5" w:rsidP="000D5DB5">
      <w:pPr>
        <w:ind w:left="1416"/>
        <w:jc w:val="both"/>
        <w:rPr>
          <w:rFonts w:asciiTheme="majorHAnsi" w:hAnsiTheme="majorHAnsi" w:cs="Arial"/>
        </w:rPr>
      </w:pPr>
      <w:r w:rsidRPr="0007641B">
        <w:rPr>
          <w:rFonts w:asciiTheme="majorHAnsi" w:hAnsiTheme="majorHAnsi" w:cs="Arial"/>
        </w:rPr>
        <w:t xml:space="preserve"> §1º. Será admitida, nos termos do § 2º deste artigo, a acumulação de:</w:t>
      </w:r>
    </w:p>
    <w:p w:rsidR="000D5DB5" w:rsidRPr="0007641B" w:rsidRDefault="000D5DB5" w:rsidP="000D5DB5">
      <w:pPr>
        <w:autoSpaceDE w:val="0"/>
        <w:autoSpaceDN w:val="0"/>
        <w:adjustRightInd w:val="0"/>
        <w:rPr>
          <w:rFonts w:asciiTheme="majorHAnsi" w:hAnsiTheme="majorHAnsi" w:cs="Arial"/>
          <w:color w:val="000000"/>
        </w:rPr>
      </w:pPr>
    </w:p>
    <w:p w:rsidR="000D5DB5" w:rsidRPr="0007641B" w:rsidRDefault="000D5DB5" w:rsidP="000D5DB5">
      <w:pPr>
        <w:autoSpaceDE w:val="0"/>
        <w:autoSpaceDN w:val="0"/>
        <w:adjustRightInd w:val="0"/>
        <w:spacing w:after="178"/>
        <w:ind w:left="1416"/>
        <w:jc w:val="both"/>
        <w:rPr>
          <w:rFonts w:asciiTheme="majorHAnsi" w:hAnsiTheme="majorHAnsi" w:cs="Arial"/>
          <w:color w:val="000000"/>
        </w:rPr>
      </w:pPr>
      <w:r w:rsidRPr="0007641B">
        <w:rPr>
          <w:rFonts w:asciiTheme="majorHAnsi" w:hAnsiTheme="majorHAnsi" w:cs="Arial"/>
          <w:bCs/>
          <w:color w:val="000000"/>
        </w:rPr>
        <w:t xml:space="preserve">I - </w:t>
      </w:r>
      <w:r w:rsidRPr="0007641B">
        <w:rPr>
          <w:rFonts w:asciiTheme="majorHAnsi" w:hAnsiTheme="majorHAnsi" w:cs="Arial"/>
          <w:color w:val="000000"/>
        </w:rPr>
        <w:t>pensão por morte deixada por cônjuge, companheiro ou companheira deste regime de previdência social com pensão por morte concedida por outro regime de previdência social ou com pensões decorrentes das atividades militares de que tratam os artigos 42 e 142 da Constituição Federal;</w:t>
      </w:r>
    </w:p>
    <w:p w:rsidR="000D5DB5" w:rsidRPr="0007641B" w:rsidRDefault="000D5DB5" w:rsidP="000D5DB5">
      <w:pPr>
        <w:autoSpaceDE w:val="0"/>
        <w:autoSpaceDN w:val="0"/>
        <w:adjustRightInd w:val="0"/>
        <w:spacing w:after="178"/>
        <w:ind w:left="1416"/>
        <w:jc w:val="both"/>
        <w:rPr>
          <w:rFonts w:asciiTheme="majorHAnsi" w:hAnsiTheme="majorHAnsi" w:cs="Arial"/>
          <w:color w:val="000000"/>
        </w:rPr>
      </w:pPr>
      <w:r w:rsidRPr="0007641B">
        <w:rPr>
          <w:rFonts w:asciiTheme="majorHAnsi" w:hAnsiTheme="majorHAnsi" w:cs="Arial"/>
          <w:bCs/>
          <w:color w:val="000000"/>
        </w:rPr>
        <w:t xml:space="preserve">II - </w:t>
      </w:r>
      <w:r w:rsidRPr="0007641B">
        <w:rPr>
          <w:rFonts w:asciiTheme="majorHAnsi" w:hAnsiTheme="majorHAnsi" w:cs="Arial"/>
          <w:color w:val="000000"/>
        </w:rPr>
        <w:t xml:space="preserve">pensão por morte deixada por cônjuge, companheiro ou companheira deste regime de previdência social com aposentadoria concedida no âmbito do Regime Geral de Previdência Social - RGPS ou de regime próprio de previdência social ou com proventos de inatividade decorrentes das atividades militares de que tratam os artigos 42 e 142 da Constituição Federal; ou </w:t>
      </w:r>
    </w:p>
    <w:p w:rsidR="000D5DB5" w:rsidRPr="0007641B" w:rsidRDefault="000D5DB5" w:rsidP="000D5DB5">
      <w:pPr>
        <w:autoSpaceDE w:val="0"/>
        <w:autoSpaceDN w:val="0"/>
        <w:adjustRightInd w:val="0"/>
        <w:ind w:left="1416"/>
        <w:jc w:val="both"/>
        <w:rPr>
          <w:rFonts w:asciiTheme="majorHAnsi" w:hAnsiTheme="majorHAnsi" w:cs="Arial"/>
          <w:color w:val="000000"/>
        </w:rPr>
      </w:pPr>
      <w:r w:rsidRPr="0007641B">
        <w:rPr>
          <w:rFonts w:asciiTheme="majorHAnsi" w:hAnsiTheme="majorHAnsi" w:cs="Arial"/>
          <w:bCs/>
          <w:color w:val="000000"/>
        </w:rPr>
        <w:t xml:space="preserve">III - </w:t>
      </w:r>
      <w:r w:rsidRPr="0007641B">
        <w:rPr>
          <w:rFonts w:asciiTheme="majorHAnsi" w:hAnsiTheme="majorHAnsi" w:cs="Arial"/>
          <w:color w:val="000000"/>
        </w:rPr>
        <w:t>pensões decorrentes das atividades militares de que tratam os artigos 42 e 142 da Constituição Federal com aposentadoria concedida no âmbito do Regime Geral de Previdência Social ou de regime próprio de previdência social.</w:t>
      </w:r>
    </w:p>
    <w:p w:rsidR="000D5DB5" w:rsidRPr="0007641B" w:rsidRDefault="000D5DB5" w:rsidP="000D5DB5">
      <w:pPr>
        <w:autoSpaceDE w:val="0"/>
        <w:autoSpaceDN w:val="0"/>
        <w:adjustRightInd w:val="0"/>
        <w:ind w:left="1416"/>
        <w:jc w:val="both"/>
        <w:rPr>
          <w:rFonts w:asciiTheme="majorHAnsi" w:hAnsiTheme="majorHAnsi" w:cs="Arial"/>
          <w:color w:val="000000"/>
        </w:rPr>
      </w:pPr>
    </w:p>
    <w:p w:rsidR="000D5DB5" w:rsidRPr="0007641B" w:rsidRDefault="000D5DB5" w:rsidP="000D5DB5">
      <w:pPr>
        <w:ind w:left="1416"/>
        <w:jc w:val="both"/>
        <w:rPr>
          <w:rFonts w:asciiTheme="majorHAnsi" w:hAnsiTheme="majorHAnsi" w:cs="Arial"/>
        </w:rPr>
      </w:pPr>
      <w:r w:rsidRPr="0007641B">
        <w:rPr>
          <w:rFonts w:asciiTheme="majorHAnsi" w:hAnsiTheme="majorHAnsi" w:cs="Arial"/>
        </w:rPr>
        <w:t>§2º. Nas hipóteses das acumulações previstas no § 1º, é assegurada a percepção do valor integral do benefício mais vantajoso e de uma parte de cada um dos demais benefícios, apurada cumulativamente de acordo com as seguintes faixas:</w:t>
      </w:r>
    </w:p>
    <w:p w:rsidR="000D5DB5" w:rsidRPr="0007641B" w:rsidRDefault="000D5DB5" w:rsidP="000D5DB5">
      <w:pPr>
        <w:ind w:left="1416"/>
        <w:jc w:val="both"/>
        <w:rPr>
          <w:rFonts w:asciiTheme="majorHAnsi" w:hAnsiTheme="majorHAnsi" w:cs="Arial"/>
        </w:rPr>
      </w:pPr>
    </w:p>
    <w:p w:rsidR="000D5DB5" w:rsidRPr="0007641B" w:rsidRDefault="000D5DB5" w:rsidP="000D5DB5">
      <w:pPr>
        <w:ind w:left="1416"/>
        <w:jc w:val="both"/>
        <w:rPr>
          <w:rFonts w:asciiTheme="majorHAnsi" w:hAnsiTheme="majorHAnsi" w:cs="Arial"/>
        </w:rPr>
      </w:pPr>
      <w:r w:rsidRPr="0007641B">
        <w:rPr>
          <w:rFonts w:asciiTheme="majorHAnsi" w:hAnsiTheme="majorHAnsi" w:cs="Arial"/>
        </w:rPr>
        <w:t>I – 100% (cem por cento) do valor igual a 01 (um) salário-mínimo;</w:t>
      </w:r>
    </w:p>
    <w:p w:rsidR="000D5DB5" w:rsidRPr="0007641B" w:rsidRDefault="000D5DB5" w:rsidP="000D5DB5">
      <w:pPr>
        <w:ind w:left="1416"/>
        <w:jc w:val="both"/>
        <w:rPr>
          <w:rFonts w:asciiTheme="majorHAnsi" w:hAnsiTheme="majorHAnsi" w:cs="Arial"/>
        </w:rPr>
      </w:pPr>
    </w:p>
    <w:p w:rsidR="000D5DB5" w:rsidRPr="0007641B" w:rsidRDefault="000D5DB5" w:rsidP="000D5DB5">
      <w:pPr>
        <w:ind w:left="1416"/>
        <w:jc w:val="both"/>
        <w:rPr>
          <w:rFonts w:asciiTheme="majorHAnsi" w:hAnsiTheme="majorHAnsi" w:cs="Arial"/>
        </w:rPr>
      </w:pPr>
      <w:r w:rsidRPr="0007641B">
        <w:rPr>
          <w:rFonts w:asciiTheme="majorHAnsi" w:hAnsiTheme="majorHAnsi" w:cs="Arial"/>
        </w:rPr>
        <w:t>II - 60% (sessenta por cento) do valor que exceder 1 (um) salário-mínimo, até o limite de 2 (dois) salários-mínimos;</w:t>
      </w:r>
    </w:p>
    <w:p w:rsidR="000D5DB5" w:rsidRPr="0007641B" w:rsidRDefault="000D5DB5" w:rsidP="000D5DB5">
      <w:pPr>
        <w:ind w:left="1416"/>
        <w:jc w:val="both"/>
        <w:rPr>
          <w:rFonts w:asciiTheme="majorHAnsi" w:hAnsiTheme="majorHAnsi" w:cs="Arial"/>
        </w:rPr>
      </w:pPr>
      <w:r w:rsidRPr="0007641B">
        <w:rPr>
          <w:rFonts w:asciiTheme="majorHAnsi" w:hAnsiTheme="majorHAnsi" w:cs="Arial"/>
        </w:rPr>
        <w:t xml:space="preserve"> </w:t>
      </w:r>
    </w:p>
    <w:p w:rsidR="000D5DB5" w:rsidRPr="0007641B" w:rsidRDefault="000D5DB5" w:rsidP="000D5DB5">
      <w:pPr>
        <w:ind w:left="1416"/>
        <w:jc w:val="both"/>
        <w:rPr>
          <w:rFonts w:asciiTheme="majorHAnsi" w:hAnsiTheme="majorHAnsi" w:cs="Arial"/>
        </w:rPr>
      </w:pPr>
      <w:r w:rsidRPr="0007641B">
        <w:rPr>
          <w:rFonts w:asciiTheme="majorHAnsi" w:hAnsiTheme="majorHAnsi" w:cs="Arial"/>
        </w:rPr>
        <w:t>III - 40% (quarenta por cento) do valor que exceder 2 (dois) salários-mínimos, até o limite de 3 (três) salários-mínimos;</w:t>
      </w:r>
    </w:p>
    <w:p w:rsidR="000D5DB5" w:rsidRPr="0007641B" w:rsidRDefault="000D5DB5" w:rsidP="000D5DB5">
      <w:pPr>
        <w:ind w:left="1416"/>
        <w:jc w:val="both"/>
        <w:rPr>
          <w:rFonts w:asciiTheme="majorHAnsi" w:hAnsiTheme="majorHAnsi" w:cs="Arial"/>
        </w:rPr>
      </w:pPr>
    </w:p>
    <w:p w:rsidR="000D5DB5" w:rsidRPr="0007641B" w:rsidRDefault="000D5DB5" w:rsidP="000D5DB5">
      <w:pPr>
        <w:ind w:left="1416"/>
        <w:jc w:val="both"/>
        <w:rPr>
          <w:rFonts w:asciiTheme="majorHAnsi" w:hAnsiTheme="majorHAnsi" w:cs="Arial"/>
        </w:rPr>
      </w:pPr>
      <w:r w:rsidRPr="0007641B">
        <w:rPr>
          <w:rFonts w:asciiTheme="majorHAnsi" w:hAnsiTheme="majorHAnsi" w:cs="Arial"/>
        </w:rPr>
        <w:t xml:space="preserve">IV - 20% (vinte por cento) do valor que exceder 3 (três) salários-mínimos, até o limite de 4 (quatro) salários-mínimos; e </w:t>
      </w:r>
    </w:p>
    <w:p w:rsidR="000D5DB5" w:rsidRPr="0007641B" w:rsidRDefault="000D5DB5" w:rsidP="000D5DB5">
      <w:pPr>
        <w:ind w:left="1416"/>
        <w:jc w:val="both"/>
        <w:rPr>
          <w:rFonts w:asciiTheme="majorHAnsi" w:hAnsiTheme="majorHAnsi" w:cs="Arial"/>
        </w:rPr>
      </w:pPr>
    </w:p>
    <w:p w:rsidR="000D5DB5" w:rsidRPr="0007641B" w:rsidRDefault="000D5DB5" w:rsidP="000D5DB5">
      <w:pPr>
        <w:ind w:left="1416"/>
        <w:jc w:val="both"/>
        <w:rPr>
          <w:rFonts w:asciiTheme="majorHAnsi" w:hAnsiTheme="majorHAnsi" w:cs="Arial"/>
        </w:rPr>
      </w:pPr>
      <w:r w:rsidRPr="0007641B">
        <w:rPr>
          <w:rFonts w:asciiTheme="majorHAnsi" w:hAnsiTheme="majorHAnsi" w:cs="Arial"/>
        </w:rPr>
        <w:t>V - 10% (dez por cento) do valor que exceder 4 (quatro) salários-mínimos.</w:t>
      </w:r>
    </w:p>
    <w:p w:rsidR="000D5DB5" w:rsidRPr="0007641B" w:rsidRDefault="000D5DB5" w:rsidP="000D5DB5">
      <w:pPr>
        <w:ind w:left="1416"/>
        <w:jc w:val="both"/>
        <w:rPr>
          <w:rFonts w:asciiTheme="majorHAnsi" w:hAnsiTheme="majorHAnsi" w:cs="Arial"/>
        </w:rPr>
      </w:pPr>
      <w:r w:rsidRPr="0007641B">
        <w:rPr>
          <w:rFonts w:asciiTheme="majorHAnsi" w:hAnsiTheme="majorHAnsi" w:cs="Arial"/>
        </w:rPr>
        <w:t xml:space="preserve"> </w:t>
      </w:r>
    </w:p>
    <w:p w:rsidR="000D5DB5" w:rsidRPr="0007641B" w:rsidRDefault="000D5DB5" w:rsidP="000D5DB5">
      <w:pPr>
        <w:ind w:left="1416"/>
        <w:jc w:val="both"/>
        <w:rPr>
          <w:rFonts w:asciiTheme="majorHAnsi" w:hAnsiTheme="majorHAnsi" w:cs="Arial"/>
        </w:rPr>
      </w:pPr>
      <w:r w:rsidRPr="0007641B">
        <w:rPr>
          <w:rFonts w:asciiTheme="majorHAnsi" w:hAnsiTheme="majorHAnsi" w:cs="Arial"/>
        </w:rPr>
        <w:t xml:space="preserve">§3º A aplicação do disposto no § 2º poderá ser revista a qualquer tempo, a pedido do interessado, em razão de alteração de algum dos benefícios. </w:t>
      </w:r>
    </w:p>
    <w:p w:rsidR="000D5DB5" w:rsidRPr="0007641B" w:rsidRDefault="000D5DB5" w:rsidP="000D5DB5">
      <w:pPr>
        <w:ind w:left="1416"/>
        <w:jc w:val="both"/>
        <w:rPr>
          <w:rFonts w:asciiTheme="majorHAnsi" w:hAnsiTheme="majorHAnsi" w:cs="Arial"/>
        </w:rPr>
      </w:pPr>
    </w:p>
    <w:p w:rsidR="000D5DB5" w:rsidRPr="0007641B" w:rsidRDefault="000D5DB5" w:rsidP="000D5DB5">
      <w:pPr>
        <w:ind w:left="1416"/>
        <w:jc w:val="both"/>
        <w:rPr>
          <w:rFonts w:asciiTheme="majorHAnsi" w:hAnsiTheme="majorHAnsi" w:cs="Arial"/>
          <w:color w:val="000000"/>
        </w:rPr>
      </w:pPr>
      <w:r w:rsidRPr="0007641B">
        <w:rPr>
          <w:rFonts w:asciiTheme="majorHAnsi" w:hAnsiTheme="majorHAnsi" w:cs="Arial"/>
        </w:rPr>
        <w:t xml:space="preserve">§4º As restrições previstas neste artigo não serão aplicadas se o direito aos benefícios houver sido adquirido </w:t>
      </w:r>
      <w:r w:rsidRPr="0007641B">
        <w:rPr>
          <w:rFonts w:asciiTheme="majorHAnsi" w:hAnsiTheme="majorHAnsi" w:cs="Arial"/>
          <w:color w:val="000000"/>
        </w:rPr>
        <w:t>antes da data de entrada em vigor desta lei complementar.</w:t>
      </w:r>
    </w:p>
    <w:p w:rsidR="000D5DB5" w:rsidRPr="0007641B" w:rsidRDefault="000D5DB5" w:rsidP="000D5DB5">
      <w:pPr>
        <w:ind w:left="1416"/>
        <w:jc w:val="both"/>
        <w:rPr>
          <w:rFonts w:asciiTheme="majorHAnsi" w:eastAsia="MS Mincho" w:hAnsiTheme="majorHAnsi" w:cs="Arial"/>
        </w:rPr>
      </w:pPr>
    </w:p>
    <w:p w:rsidR="000D5DB5" w:rsidRPr="0007641B" w:rsidRDefault="000D5DB5" w:rsidP="000D5DB5">
      <w:pPr>
        <w:pStyle w:val="Default"/>
        <w:ind w:left="1416"/>
        <w:jc w:val="both"/>
        <w:rPr>
          <w:rFonts w:asciiTheme="majorHAnsi" w:hAnsiTheme="majorHAnsi" w:cs="Arial"/>
        </w:rPr>
      </w:pPr>
      <w:r w:rsidRPr="0007641B">
        <w:rPr>
          <w:rFonts w:asciiTheme="majorHAnsi" w:hAnsiTheme="majorHAnsi" w:cs="Arial"/>
        </w:rPr>
        <w:t>Art. 62. Extingue-se o direito à percepção da cota individual da pensão por morte:</w:t>
      </w:r>
    </w:p>
    <w:p w:rsidR="000D5DB5" w:rsidRPr="0007641B" w:rsidRDefault="000D5DB5" w:rsidP="000D5DB5">
      <w:pPr>
        <w:pStyle w:val="Default"/>
        <w:ind w:left="1416"/>
        <w:jc w:val="both"/>
        <w:rPr>
          <w:rFonts w:asciiTheme="majorHAnsi" w:hAnsiTheme="majorHAnsi" w:cs="Arial"/>
          <w:shd w:val="clear" w:color="auto" w:fill="FFFFFF"/>
        </w:rPr>
      </w:pPr>
    </w:p>
    <w:p w:rsidR="000D5DB5" w:rsidRPr="0007641B" w:rsidRDefault="000D5DB5" w:rsidP="000D5DB5">
      <w:pPr>
        <w:pStyle w:val="Default"/>
        <w:ind w:left="1416"/>
        <w:jc w:val="both"/>
        <w:rPr>
          <w:rFonts w:asciiTheme="majorHAnsi" w:hAnsiTheme="majorHAnsi" w:cs="Arial"/>
          <w:shd w:val="clear" w:color="auto" w:fill="FFFFFF"/>
        </w:rPr>
      </w:pPr>
      <w:r w:rsidRPr="0007641B">
        <w:rPr>
          <w:rFonts w:asciiTheme="majorHAnsi" w:hAnsiTheme="majorHAnsi" w:cs="Arial"/>
          <w:shd w:val="clear" w:color="auto" w:fill="FFFFFF"/>
        </w:rPr>
        <w:t>I - para o filho, o enteado, o menor tutelado ou o irmão, de ambos os sexos, ao completar vinte e um anos de idade, exceto se o pensionista for inválido ou tiver deficiência intelectual, mental ou grave;</w:t>
      </w:r>
    </w:p>
    <w:p w:rsidR="000D5DB5" w:rsidRPr="0007641B" w:rsidRDefault="000D5DB5" w:rsidP="000D5DB5">
      <w:pPr>
        <w:pStyle w:val="Default"/>
        <w:ind w:left="1416"/>
        <w:jc w:val="both"/>
        <w:rPr>
          <w:rFonts w:asciiTheme="majorHAnsi" w:hAnsiTheme="majorHAnsi" w:cs="Arial"/>
          <w:shd w:val="clear" w:color="auto" w:fill="FFFFFF"/>
        </w:rPr>
      </w:pPr>
    </w:p>
    <w:p w:rsidR="000D5DB5" w:rsidRPr="0007641B" w:rsidRDefault="000D5DB5" w:rsidP="000D5DB5">
      <w:pPr>
        <w:pStyle w:val="Default"/>
        <w:ind w:left="1416"/>
        <w:jc w:val="both"/>
        <w:rPr>
          <w:rFonts w:asciiTheme="majorHAnsi" w:hAnsiTheme="majorHAnsi" w:cs="Arial"/>
          <w:shd w:val="clear" w:color="auto" w:fill="FFFFFF"/>
        </w:rPr>
      </w:pPr>
      <w:bookmarkStart w:id="0" w:name="art114iii.0"/>
      <w:bookmarkEnd w:id="0"/>
      <w:r w:rsidRPr="0007641B">
        <w:rPr>
          <w:rFonts w:asciiTheme="majorHAnsi" w:hAnsiTheme="majorHAnsi" w:cs="Arial"/>
          <w:shd w:val="clear" w:color="auto" w:fill="FFFFFF"/>
        </w:rPr>
        <w:t>II - para o filho, o enteado, o menor tutelado ou o irmão inválido, pela cessação da invalidez;</w:t>
      </w:r>
    </w:p>
    <w:p w:rsidR="000D5DB5" w:rsidRPr="0007641B" w:rsidRDefault="000D5DB5" w:rsidP="000D5DB5">
      <w:pPr>
        <w:pStyle w:val="Default"/>
        <w:ind w:left="1416"/>
        <w:jc w:val="both"/>
        <w:rPr>
          <w:rFonts w:asciiTheme="majorHAnsi" w:hAnsiTheme="majorHAnsi" w:cs="Arial"/>
          <w:shd w:val="clear" w:color="auto" w:fill="FFFFFF"/>
        </w:rPr>
      </w:pPr>
    </w:p>
    <w:p w:rsidR="000D5DB5" w:rsidRPr="0007641B" w:rsidRDefault="000D5DB5" w:rsidP="000D5DB5">
      <w:pPr>
        <w:pStyle w:val="Default"/>
        <w:ind w:left="1416"/>
        <w:jc w:val="both"/>
        <w:rPr>
          <w:rFonts w:asciiTheme="majorHAnsi" w:hAnsiTheme="majorHAnsi" w:cs="Arial"/>
          <w:shd w:val="clear" w:color="auto" w:fill="FFFFFF"/>
        </w:rPr>
      </w:pPr>
      <w:r w:rsidRPr="0007641B">
        <w:rPr>
          <w:rFonts w:asciiTheme="majorHAnsi" w:hAnsiTheme="majorHAnsi" w:cs="Arial"/>
          <w:shd w:val="clear" w:color="auto" w:fill="FFFFFF"/>
        </w:rPr>
        <w:t>III - para o filho, o enteado, o menor tutelado ou o irmão que tenha deficiência intelectual, mental ou grave, pelo afastamento da deficiência;</w:t>
      </w:r>
    </w:p>
    <w:p w:rsidR="000D5DB5" w:rsidRPr="0007641B" w:rsidRDefault="000D5DB5" w:rsidP="000D5DB5">
      <w:pPr>
        <w:pStyle w:val="Default"/>
        <w:ind w:left="1416"/>
        <w:jc w:val="both"/>
        <w:rPr>
          <w:rFonts w:asciiTheme="majorHAnsi" w:hAnsiTheme="majorHAnsi" w:cs="Arial"/>
          <w:shd w:val="clear" w:color="auto" w:fill="FFFFFF"/>
        </w:rPr>
      </w:pPr>
    </w:p>
    <w:p w:rsidR="000D5DB5" w:rsidRPr="0007641B" w:rsidRDefault="000D5DB5" w:rsidP="000D5DB5">
      <w:pPr>
        <w:pStyle w:val="Default"/>
        <w:ind w:left="1416"/>
        <w:jc w:val="both"/>
        <w:rPr>
          <w:rFonts w:asciiTheme="majorHAnsi" w:hAnsiTheme="majorHAnsi" w:cs="Arial"/>
        </w:rPr>
      </w:pPr>
      <w:r w:rsidRPr="0007641B">
        <w:rPr>
          <w:rFonts w:asciiTheme="majorHAnsi" w:hAnsiTheme="majorHAnsi" w:cs="Arial"/>
          <w:shd w:val="clear" w:color="auto" w:fill="FFFFFF"/>
        </w:rPr>
        <w:t>IV - pela adoção, para o filho adotado que receba pensão por morte dos pais biológicos.</w:t>
      </w:r>
    </w:p>
    <w:p w:rsidR="000D5DB5" w:rsidRPr="0007641B" w:rsidRDefault="000D5DB5" w:rsidP="000D5DB5">
      <w:pPr>
        <w:pStyle w:val="Default"/>
        <w:ind w:left="1416"/>
        <w:jc w:val="both"/>
        <w:rPr>
          <w:rFonts w:asciiTheme="majorHAnsi" w:hAnsiTheme="majorHAnsi" w:cs="Arial"/>
        </w:rPr>
      </w:pPr>
    </w:p>
    <w:p w:rsidR="000D5DB5" w:rsidRPr="0007641B" w:rsidRDefault="000D5DB5" w:rsidP="000D5DB5">
      <w:pPr>
        <w:pStyle w:val="Default"/>
        <w:ind w:left="1416"/>
        <w:jc w:val="both"/>
        <w:rPr>
          <w:rFonts w:asciiTheme="majorHAnsi" w:hAnsiTheme="majorHAnsi" w:cs="Arial"/>
        </w:rPr>
      </w:pPr>
      <w:r w:rsidRPr="0007641B">
        <w:rPr>
          <w:rFonts w:asciiTheme="majorHAnsi" w:hAnsiTheme="majorHAnsi" w:cs="Arial"/>
          <w:bCs/>
        </w:rPr>
        <w:t xml:space="preserve">V – </w:t>
      </w:r>
      <w:r w:rsidRPr="0007641B">
        <w:rPr>
          <w:rFonts w:asciiTheme="majorHAnsi" w:hAnsiTheme="majorHAnsi" w:cs="Arial"/>
        </w:rPr>
        <w:t>para o cônjuge, companheiro ou companheira e, o cônjuge divorciado ou separado com percepção de pensão alimentícia estabelecida judicialmente:</w:t>
      </w:r>
    </w:p>
    <w:p w:rsidR="000D5DB5" w:rsidRPr="0007641B" w:rsidRDefault="000D5DB5" w:rsidP="000D5DB5">
      <w:pPr>
        <w:pStyle w:val="Default"/>
        <w:ind w:left="1416"/>
        <w:jc w:val="both"/>
        <w:rPr>
          <w:rFonts w:asciiTheme="majorHAnsi" w:hAnsiTheme="majorHAnsi" w:cs="Arial"/>
        </w:rPr>
      </w:pPr>
    </w:p>
    <w:p w:rsidR="000D5DB5" w:rsidRPr="0007641B" w:rsidRDefault="000D5DB5" w:rsidP="000D5DB5">
      <w:pPr>
        <w:pStyle w:val="Default"/>
        <w:ind w:left="1416"/>
        <w:jc w:val="both"/>
        <w:rPr>
          <w:rFonts w:asciiTheme="majorHAnsi" w:hAnsiTheme="majorHAnsi" w:cs="Arial"/>
          <w:color w:val="auto"/>
        </w:rPr>
      </w:pPr>
      <w:r w:rsidRPr="0007641B">
        <w:rPr>
          <w:rFonts w:asciiTheme="majorHAnsi" w:hAnsiTheme="majorHAnsi" w:cs="Arial"/>
          <w:bCs/>
          <w:color w:val="auto"/>
        </w:rPr>
        <w:lastRenderedPageBreak/>
        <w:t xml:space="preserve">a) em </w:t>
      </w:r>
      <w:r w:rsidRPr="0007641B">
        <w:rPr>
          <w:rFonts w:asciiTheme="majorHAnsi" w:hAnsiTheme="majorHAnsi" w:cs="Arial"/>
          <w:color w:val="auto"/>
        </w:rPr>
        <w:t>04 (quatro) meses, se o óbito ocorrer sem que o segurado tenha vertido 18 (dezoito) contribuições mensais ou se o casamento ou a união estável tiverem sido iniciados em menos de 02 (dois) anos antes do óbito do servidor; ou,</w:t>
      </w:r>
    </w:p>
    <w:p w:rsidR="000D5DB5" w:rsidRPr="0007641B" w:rsidRDefault="000D5DB5" w:rsidP="000D5DB5">
      <w:pPr>
        <w:pStyle w:val="Default"/>
        <w:ind w:left="1416"/>
        <w:jc w:val="both"/>
        <w:rPr>
          <w:rFonts w:asciiTheme="majorHAnsi" w:hAnsiTheme="majorHAnsi" w:cs="Arial"/>
          <w:color w:val="auto"/>
        </w:rPr>
      </w:pPr>
      <w:r w:rsidRPr="0007641B">
        <w:rPr>
          <w:rFonts w:asciiTheme="majorHAnsi" w:hAnsiTheme="majorHAnsi" w:cs="Arial"/>
          <w:color w:val="auto"/>
        </w:rPr>
        <w:t xml:space="preserve"> </w:t>
      </w:r>
    </w:p>
    <w:p w:rsidR="000D5DB5" w:rsidRPr="0007641B" w:rsidRDefault="000D5DB5" w:rsidP="000D5DB5">
      <w:pPr>
        <w:pStyle w:val="Recuodecorpodetexto3"/>
        <w:spacing w:after="0"/>
        <w:ind w:left="1416"/>
        <w:jc w:val="both"/>
        <w:rPr>
          <w:rFonts w:asciiTheme="majorHAnsi" w:hAnsiTheme="majorHAnsi" w:cs="Arial"/>
          <w:sz w:val="24"/>
          <w:szCs w:val="24"/>
        </w:rPr>
      </w:pPr>
      <w:r w:rsidRPr="0007641B">
        <w:rPr>
          <w:rFonts w:asciiTheme="majorHAnsi" w:hAnsiTheme="majorHAnsi" w:cs="Arial"/>
          <w:bCs/>
          <w:sz w:val="24"/>
          <w:szCs w:val="24"/>
        </w:rPr>
        <w:t xml:space="preserve">b) transcorridos os </w:t>
      </w:r>
      <w:r w:rsidRPr="0007641B">
        <w:rPr>
          <w:rFonts w:asciiTheme="majorHAnsi" w:hAnsiTheme="majorHAnsi" w:cs="Arial"/>
          <w:sz w:val="24"/>
          <w:szCs w:val="24"/>
        </w:rPr>
        <w:t>seguintes períodos, estabelecidos de acordo com a idade do pensionista na data de óbito do segurado, depois de vertidas 18 (dezoito) contribuições mensais e pelo menos 02 (dois) anos após o início do casamento ou da união estável:</w:t>
      </w:r>
    </w:p>
    <w:p w:rsidR="000D5DB5" w:rsidRPr="0007641B" w:rsidRDefault="000D5DB5" w:rsidP="000D5DB5">
      <w:pPr>
        <w:pStyle w:val="Recuodecorpodetexto3"/>
        <w:spacing w:after="0"/>
        <w:ind w:left="1416"/>
        <w:rPr>
          <w:rFonts w:asciiTheme="majorHAnsi" w:hAnsiTheme="majorHAnsi" w:cs="Arial"/>
          <w:sz w:val="24"/>
          <w:szCs w:val="24"/>
        </w:rPr>
      </w:pPr>
    </w:p>
    <w:p w:rsidR="000D5DB5" w:rsidRPr="0007641B" w:rsidRDefault="000D5DB5" w:rsidP="000D5DB5">
      <w:pPr>
        <w:pStyle w:val="Default"/>
        <w:numPr>
          <w:ilvl w:val="0"/>
          <w:numId w:val="20"/>
        </w:numPr>
        <w:jc w:val="both"/>
        <w:rPr>
          <w:rFonts w:asciiTheme="majorHAnsi" w:hAnsiTheme="majorHAnsi" w:cs="Arial"/>
        </w:rPr>
      </w:pPr>
      <w:r w:rsidRPr="0007641B">
        <w:rPr>
          <w:rFonts w:asciiTheme="majorHAnsi" w:hAnsiTheme="majorHAnsi" w:cs="Arial"/>
          <w:shd w:val="clear" w:color="auto" w:fill="FFFFFF"/>
        </w:rPr>
        <w:t>três anos, com menos de vinte e um anos de idade</w:t>
      </w:r>
      <w:r w:rsidRPr="0007641B">
        <w:rPr>
          <w:rFonts w:asciiTheme="majorHAnsi" w:hAnsiTheme="majorHAnsi" w:cs="Arial"/>
        </w:rPr>
        <w:t>;</w:t>
      </w:r>
    </w:p>
    <w:p w:rsidR="000D5DB5" w:rsidRPr="0007641B" w:rsidRDefault="000D5DB5" w:rsidP="000D5DB5">
      <w:pPr>
        <w:pStyle w:val="Default"/>
        <w:ind w:left="1416"/>
        <w:jc w:val="both"/>
        <w:rPr>
          <w:rFonts w:asciiTheme="majorHAnsi" w:hAnsiTheme="majorHAnsi" w:cs="Arial"/>
        </w:rPr>
      </w:pPr>
    </w:p>
    <w:p w:rsidR="000D5DB5" w:rsidRPr="0007641B" w:rsidRDefault="000D5DB5" w:rsidP="000D5DB5">
      <w:pPr>
        <w:pStyle w:val="Default"/>
        <w:numPr>
          <w:ilvl w:val="0"/>
          <w:numId w:val="20"/>
        </w:numPr>
        <w:jc w:val="both"/>
        <w:rPr>
          <w:rFonts w:asciiTheme="majorHAnsi" w:hAnsiTheme="majorHAnsi" w:cs="Arial"/>
        </w:rPr>
      </w:pPr>
      <w:r w:rsidRPr="0007641B">
        <w:rPr>
          <w:rFonts w:asciiTheme="majorHAnsi" w:hAnsiTheme="majorHAnsi" w:cs="Arial"/>
          <w:shd w:val="clear" w:color="auto" w:fill="FFFFFF"/>
        </w:rPr>
        <w:t>seis anos, entre vinte e um e vinte e seis anos de idade; </w:t>
      </w:r>
    </w:p>
    <w:p w:rsidR="000D5DB5" w:rsidRPr="0007641B" w:rsidRDefault="000D5DB5" w:rsidP="000D5DB5">
      <w:pPr>
        <w:pStyle w:val="Default"/>
        <w:ind w:left="1416"/>
        <w:jc w:val="both"/>
        <w:rPr>
          <w:rFonts w:asciiTheme="majorHAnsi" w:hAnsiTheme="majorHAnsi" w:cs="Arial"/>
        </w:rPr>
      </w:pPr>
    </w:p>
    <w:p w:rsidR="000D5DB5" w:rsidRPr="0007641B" w:rsidRDefault="000D5DB5" w:rsidP="000D5DB5">
      <w:pPr>
        <w:pStyle w:val="Default"/>
        <w:ind w:left="1416"/>
        <w:jc w:val="both"/>
        <w:rPr>
          <w:rFonts w:asciiTheme="majorHAnsi" w:hAnsiTheme="majorHAnsi" w:cs="Arial"/>
        </w:rPr>
      </w:pPr>
      <w:r w:rsidRPr="0007641B">
        <w:rPr>
          <w:rFonts w:asciiTheme="majorHAnsi" w:hAnsiTheme="majorHAnsi" w:cs="Arial"/>
          <w:bCs/>
        </w:rPr>
        <w:t xml:space="preserve">3) </w:t>
      </w:r>
      <w:r w:rsidRPr="0007641B">
        <w:rPr>
          <w:rFonts w:asciiTheme="majorHAnsi" w:hAnsiTheme="majorHAnsi" w:cs="Arial"/>
          <w:shd w:val="clear" w:color="auto" w:fill="FFFFFF"/>
        </w:rPr>
        <w:t>dez anos, entre vinte e sete e vinte e nove anos de idade</w:t>
      </w:r>
      <w:r w:rsidRPr="0007641B">
        <w:rPr>
          <w:rFonts w:asciiTheme="majorHAnsi" w:hAnsiTheme="majorHAnsi" w:cs="Arial"/>
        </w:rPr>
        <w:t>;</w:t>
      </w:r>
    </w:p>
    <w:p w:rsidR="000D5DB5" w:rsidRPr="0007641B" w:rsidRDefault="000D5DB5" w:rsidP="000D5DB5">
      <w:pPr>
        <w:pStyle w:val="Default"/>
        <w:ind w:left="1416"/>
        <w:jc w:val="both"/>
        <w:rPr>
          <w:rFonts w:asciiTheme="majorHAnsi" w:hAnsiTheme="majorHAnsi" w:cs="Arial"/>
        </w:rPr>
      </w:pPr>
      <w:r w:rsidRPr="0007641B">
        <w:rPr>
          <w:rFonts w:asciiTheme="majorHAnsi" w:hAnsiTheme="majorHAnsi" w:cs="Arial"/>
        </w:rPr>
        <w:t xml:space="preserve"> </w:t>
      </w:r>
    </w:p>
    <w:p w:rsidR="000D5DB5" w:rsidRPr="0007641B" w:rsidRDefault="000D5DB5" w:rsidP="000D5DB5">
      <w:pPr>
        <w:pStyle w:val="Default"/>
        <w:ind w:left="1416"/>
        <w:jc w:val="both"/>
        <w:rPr>
          <w:rFonts w:asciiTheme="majorHAnsi" w:hAnsiTheme="majorHAnsi" w:cs="Arial"/>
        </w:rPr>
      </w:pPr>
      <w:r w:rsidRPr="0007641B">
        <w:rPr>
          <w:rFonts w:asciiTheme="majorHAnsi" w:hAnsiTheme="majorHAnsi" w:cs="Arial"/>
          <w:bCs/>
        </w:rPr>
        <w:t xml:space="preserve">4) </w:t>
      </w:r>
      <w:r w:rsidRPr="0007641B">
        <w:rPr>
          <w:rFonts w:asciiTheme="majorHAnsi" w:hAnsiTheme="majorHAnsi" w:cs="Arial"/>
          <w:shd w:val="clear" w:color="auto" w:fill="FFFFFF"/>
        </w:rPr>
        <w:t>quinze anos, entre trinta e quarenta anos de idade</w:t>
      </w:r>
      <w:r w:rsidRPr="0007641B">
        <w:rPr>
          <w:rFonts w:asciiTheme="majorHAnsi" w:hAnsiTheme="majorHAnsi" w:cs="Arial"/>
        </w:rPr>
        <w:t>;</w:t>
      </w:r>
    </w:p>
    <w:p w:rsidR="000D5DB5" w:rsidRPr="0007641B" w:rsidRDefault="000D5DB5" w:rsidP="000D5DB5">
      <w:pPr>
        <w:pStyle w:val="Default"/>
        <w:ind w:left="1416"/>
        <w:jc w:val="both"/>
        <w:rPr>
          <w:rFonts w:asciiTheme="majorHAnsi" w:hAnsiTheme="majorHAnsi" w:cs="Arial"/>
        </w:rPr>
      </w:pPr>
      <w:r w:rsidRPr="0007641B">
        <w:rPr>
          <w:rFonts w:asciiTheme="majorHAnsi" w:hAnsiTheme="majorHAnsi" w:cs="Arial"/>
        </w:rPr>
        <w:t xml:space="preserve"> </w:t>
      </w:r>
    </w:p>
    <w:p w:rsidR="000D5DB5" w:rsidRPr="0007641B" w:rsidRDefault="000D5DB5" w:rsidP="000D5DB5">
      <w:pPr>
        <w:pStyle w:val="Default"/>
        <w:ind w:left="1416"/>
        <w:jc w:val="both"/>
        <w:rPr>
          <w:rFonts w:asciiTheme="majorHAnsi" w:hAnsiTheme="majorHAnsi" w:cs="Arial"/>
          <w:shd w:val="clear" w:color="auto" w:fill="FFFFFF"/>
        </w:rPr>
      </w:pPr>
      <w:r w:rsidRPr="0007641B">
        <w:rPr>
          <w:rFonts w:asciiTheme="majorHAnsi" w:hAnsiTheme="majorHAnsi" w:cs="Arial"/>
          <w:bCs/>
        </w:rPr>
        <w:t xml:space="preserve">5) </w:t>
      </w:r>
      <w:r w:rsidRPr="0007641B">
        <w:rPr>
          <w:rFonts w:asciiTheme="majorHAnsi" w:hAnsiTheme="majorHAnsi" w:cs="Arial"/>
          <w:shd w:val="clear" w:color="auto" w:fill="FFFFFF"/>
        </w:rPr>
        <w:t>vinte anos, entre quarenta e um e quarenta e três anos de idade; ou</w:t>
      </w:r>
    </w:p>
    <w:p w:rsidR="000D5DB5" w:rsidRPr="0007641B" w:rsidRDefault="000D5DB5" w:rsidP="000D5DB5">
      <w:pPr>
        <w:pStyle w:val="Default"/>
        <w:ind w:left="1416"/>
        <w:jc w:val="both"/>
        <w:rPr>
          <w:rFonts w:asciiTheme="majorHAnsi" w:hAnsiTheme="majorHAnsi" w:cs="Arial"/>
        </w:rPr>
      </w:pPr>
      <w:r w:rsidRPr="0007641B">
        <w:rPr>
          <w:rFonts w:asciiTheme="majorHAnsi" w:hAnsiTheme="majorHAnsi" w:cs="Arial"/>
        </w:rPr>
        <w:t xml:space="preserve"> </w:t>
      </w:r>
    </w:p>
    <w:p w:rsidR="000D5DB5" w:rsidRPr="0007641B" w:rsidRDefault="000D5DB5" w:rsidP="000D5DB5">
      <w:pPr>
        <w:pStyle w:val="Recuodecorpodetexto3"/>
        <w:spacing w:after="0"/>
        <w:ind w:left="1416"/>
        <w:rPr>
          <w:rFonts w:asciiTheme="majorHAnsi" w:hAnsiTheme="majorHAnsi" w:cs="Arial"/>
          <w:sz w:val="24"/>
          <w:szCs w:val="24"/>
        </w:rPr>
      </w:pPr>
      <w:r w:rsidRPr="0007641B">
        <w:rPr>
          <w:rFonts w:asciiTheme="majorHAnsi" w:hAnsiTheme="majorHAnsi" w:cs="Arial"/>
          <w:bCs/>
          <w:sz w:val="24"/>
          <w:szCs w:val="24"/>
        </w:rPr>
        <w:t xml:space="preserve">6) </w:t>
      </w:r>
      <w:r w:rsidRPr="0007641B">
        <w:rPr>
          <w:rFonts w:asciiTheme="majorHAnsi" w:hAnsiTheme="majorHAnsi" w:cs="Arial"/>
          <w:color w:val="000000"/>
          <w:sz w:val="24"/>
          <w:szCs w:val="24"/>
          <w:shd w:val="clear" w:color="auto" w:fill="FFFFFF"/>
        </w:rPr>
        <w:t>vitalícia, com quarenta e quatro ou mais anos de idade;</w:t>
      </w:r>
    </w:p>
    <w:p w:rsidR="000D5DB5" w:rsidRPr="0007641B" w:rsidRDefault="000D5DB5" w:rsidP="000D5DB5">
      <w:pPr>
        <w:pStyle w:val="Recuodecorpodetexto3"/>
        <w:spacing w:after="0"/>
        <w:ind w:left="2832"/>
        <w:rPr>
          <w:rFonts w:asciiTheme="majorHAnsi" w:hAnsiTheme="majorHAnsi" w:cs="Arial"/>
          <w:sz w:val="24"/>
          <w:szCs w:val="24"/>
        </w:rPr>
      </w:pPr>
    </w:p>
    <w:p w:rsidR="000D5DB5" w:rsidRPr="0007641B" w:rsidRDefault="000D5DB5" w:rsidP="000D5DB5">
      <w:pPr>
        <w:pStyle w:val="Default"/>
        <w:ind w:left="1416"/>
        <w:jc w:val="both"/>
        <w:rPr>
          <w:rFonts w:asciiTheme="majorHAnsi" w:hAnsiTheme="majorHAnsi" w:cs="Arial"/>
        </w:rPr>
      </w:pPr>
      <w:r w:rsidRPr="0007641B">
        <w:rPr>
          <w:rFonts w:asciiTheme="majorHAnsi" w:hAnsiTheme="majorHAnsi" w:cs="Arial"/>
          <w:bCs/>
        </w:rPr>
        <w:t xml:space="preserve">VI – </w:t>
      </w:r>
      <w:r w:rsidRPr="0007641B">
        <w:rPr>
          <w:rFonts w:asciiTheme="majorHAnsi" w:hAnsiTheme="majorHAnsi" w:cs="Arial"/>
        </w:rPr>
        <w:t>pela renúncia expressa; e,</w:t>
      </w:r>
    </w:p>
    <w:p w:rsidR="000D5DB5" w:rsidRPr="0007641B" w:rsidRDefault="000D5DB5" w:rsidP="000D5DB5">
      <w:pPr>
        <w:pStyle w:val="Default"/>
        <w:ind w:left="1416"/>
        <w:jc w:val="both"/>
        <w:rPr>
          <w:rFonts w:asciiTheme="majorHAnsi" w:hAnsiTheme="majorHAnsi" w:cs="Arial"/>
        </w:rPr>
      </w:pPr>
    </w:p>
    <w:p w:rsidR="000D5DB5" w:rsidRPr="0007641B" w:rsidRDefault="000D5DB5" w:rsidP="000D5DB5">
      <w:pPr>
        <w:pStyle w:val="Default"/>
        <w:ind w:left="1416"/>
        <w:jc w:val="both"/>
        <w:rPr>
          <w:rFonts w:asciiTheme="majorHAnsi" w:hAnsiTheme="majorHAnsi" w:cs="Arial"/>
        </w:rPr>
      </w:pPr>
      <w:r w:rsidRPr="0007641B">
        <w:rPr>
          <w:rFonts w:asciiTheme="majorHAnsi" w:hAnsiTheme="majorHAnsi" w:cs="Arial"/>
          <w:bCs/>
        </w:rPr>
        <w:t xml:space="preserve">VII – </w:t>
      </w:r>
      <w:r w:rsidRPr="0007641B">
        <w:rPr>
          <w:rFonts w:asciiTheme="majorHAnsi" w:hAnsiTheme="majorHAnsi" w:cs="Arial"/>
        </w:rPr>
        <w:t>pela morte do pensionista.</w:t>
      </w:r>
    </w:p>
    <w:p w:rsidR="000D5DB5" w:rsidRPr="0007641B" w:rsidRDefault="000D5DB5" w:rsidP="000D5DB5">
      <w:pPr>
        <w:pStyle w:val="Default"/>
        <w:ind w:left="1416"/>
        <w:jc w:val="both"/>
        <w:rPr>
          <w:rFonts w:asciiTheme="majorHAnsi" w:hAnsiTheme="majorHAnsi" w:cs="Arial"/>
        </w:rPr>
      </w:pPr>
      <w:r w:rsidRPr="0007641B">
        <w:rPr>
          <w:rFonts w:asciiTheme="majorHAnsi" w:hAnsiTheme="majorHAnsi" w:cs="Arial"/>
        </w:rPr>
        <w:t xml:space="preserve"> </w:t>
      </w:r>
    </w:p>
    <w:p w:rsidR="000D5DB5" w:rsidRPr="0007641B" w:rsidRDefault="000D5DB5" w:rsidP="000D5DB5">
      <w:pPr>
        <w:pStyle w:val="Default"/>
        <w:ind w:left="1416"/>
        <w:jc w:val="both"/>
        <w:rPr>
          <w:rFonts w:asciiTheme="majorHAnsi" w:hAnsiTheme="majorHAnsi" w:cs="Arial"/>
        </w:rPr>
      </w:pPr>
      <w:r w:rsidRPr="0007641B">
        <w:rPr>
          <w:rFonts w:asciiTheme="majorHAnsi" w:hAnsiTheme="majorHAnsi" w:cs="Arial"/>
          <w:bCs/>
        </w:rPr>
        <w:t xml:space="preserve">§ 1º. </w:t>
      </w:r>
      <w:r w:rsidRPr="0007641B">
        <w:rPr>
          <w:rFonts w:asciiTheme="majorHAnsi" w:hAnsiTheme="majorHAnsi" w:cs="Arial"/>
        </w:rPr>
        <w:t>O beneficiário de pensão cuja preservação seja motivada por invalidez, por incapacidade ou por deficiência poderá ser convocado a qualquer momento para avaliação das referidas condições.</w:t>
      </w:r>
    </w:p>
    <w:p w:rsidR="000D5DB5" w:rsidRPr="0007641B" w:rsidRDefault="000D5DB5" w:rsidP="000D5DB5">
      <w:pPr>
        <w:pStyle w:val="Default"/>
        <w:ind w:left="1416"/>
        <w:jc w:val="both"/>
        <w:rPr>
          <w:rFonts w:asciiTheme="majorHAnsi" w:hAnsiTheme="majorHAnsi" w:cs="Arial"/>
        </w:rPr>
      </w:pPr>
      <w:r w:rsidRPr="0007641B">
        <w:rPr>
          <w:rFonts w:asciiTheme="majorHAnsi" w:hAnsiTheme="majorHAnsi" w:cs="Arial"/>
        </w:rPr>
        <w:t xml:space="preserve"> </w:t>
      </w:r>
    </w:p>
    <w:p w:rsidR="000D5DB5" w:rsidRPr="0007641B" w:rsidRDefault="000D5DB5" w:rsidP="000D5DB5">
      <w:pPr>
        <w:pStyle w:val="Recuodecorpodetexto3"/>
        <w:spacing w:after="0"/>
        <w:ind w:left="1416"/>
        <w:jc w:val="both"/>
        <w:rPr>
          <w:rFonts w:asciiTheme="majorHAnsi" w:hAnsiTheme="majorHAnsi" w:cs="Arial"/>
          <w:sz w:val="24"/>
          <w:szCs w:val="24"/>
        </w:rPr>
      </w:pPr>
      <w:r w:rsidRPr="0007641B">
        <w:rPr>
          <w:rFonts w:asciiTheme="majorHAnsi" w:hAnsiTheme="majorHAnsi" w:cs="Arial"/>
          <w:bCs/>
          <w:sz w:val="24"/>
          <w:szCs w:val="24"/>
        </w:rPr>
        <w:t xml:space="preserve">§ 2º. </w:t>
      </w:r>
      <w:r w:rsidRPr="0007641B">
        <w:rPr>
          <w:rFonts w:asciiTheme="majorHAnsi" w:hAnsiTheme="majorHAnsi" w:cs="Arial"/>
          <w:sz w:val="24"/>
          <w:szCs w:val="24"/>
        </w:rPr>
        <w:t>Se o óbito do servidor decorrer de acidente de qualquer natureza ou de doença profissional ou do trabalho, excepcionar-se-ão, na aplicação das regras de concessão e cessação do benefício, os prazos mínimos de recolhimento de 18 (dezoito) contribuições mensais ou de comprovação de 02 (dois) anos de casamento ou de união estável.</w:t>
      </w:r>
    </w:p>
    <w:p w:rsidR="000D5DB5" w:rsidRPr="0007641B" w:rsidRDefault="000D5DB5" w:rsidP="000D5DB5">
      <w:pPr>
        <w:pStyle w:val="Recuodecorpodetexto3"/>
        <w:spacing w:after="0"/>
        <w:ind w:left="1416"/>
        <w:rPr>
          <w:rFonts w:asciiTheme="majorHAnsi" w:hAnsiTheme="majorHAnsi" w:cs="Arial"/>
          <w:sz w:val="24"/>
          <w:szCs w:val="24"/>
        </w:rPr>
      </w:pPr>
    </w:p>
    <w:p w:rsidR="000D5DB5" w:rsidRPr="0007641B" w:rsidRDefault="000D5DB5" w:rsidP="000D5DB5">
      <w:pPr>
        <w:pStyle w:val="Recuodecorpodetexto3"/>
        <w:spacing w:after="0"/>
        <w:ind w:left="1416"/>
        <w:jc w:val="both"/>
        <w:rPr>
          <w:rFonts w:asciiTheme="majorHAnsi" w:hAnsiTheme="majorHAnsi" w:cs="Arial"/>
          <w:sz w:val="24"/>
          <w:szCs w:val="24"/>
        </w:rPr>
      </w:pPr>
      <w:r w:rsidRPr="0007641B">
        <w:rPr>
          <w:rFonts w:asciiTheme="majorHAnsi" w:hAnsiTheme="majorHAnsi" w:cs="Arial"/>
          <w:bCs/>
          <w:sz w:val="24"/>
          <w:szCs w:val="24"/>
        </w:rPr>
        <w:t xml:space="preserve">§ 3º. </w:t>
      </w:r>
      <w:r w:rsidRPr="0007641B">
        <w:rPr>
          <w:rFonts w:asciiTheme="majorHAnsi" w:hAnsiTheme="majorHAnsi" w:cs="Arial"/>
          <w:sz w:val="24"/>
          <w:szCs w:val="24"/>
        </w:rPr>
        <w:t>O tempo de contribuição a outro regime próprio de previdência social ou ao Regime Geral de Previdência Social será considerado na contagem das 18 (dezoito) contribuições mensais referidas neste artigo.</w:t>
      </w:r>
    </w:p>
    <w:p w:rsidR="000D5DB5" w:rsidRPr="0007641B" w:rsidRDefault="000D5DB5" w:rsidP="000D5DB5">
      <w:pPr>
        <w:pStyle w:val="Recuodecorpodetexto3"/>
        <w:spacing w:after="0"/>
        <w:ind w:left="2124"/>
        <w:jc w:val="both"/>
        <w:rPr>
          <w:rFonts w:asciiTheme="majorHAnsi" w:hAnsiTheme="majorHAnsi" w:cs="Arial"/>
          <w:sz w:val="24"/>
          <w:szCs w:val="24"/>
        </w:rPr>
      </w:pPr>
    </w:p>
    <w:p w:rsidR="000D5DB5" w:rsidRPr="0007641B" w:rsidRDefault="000D5DB5" w:rsidP="000D5DB5">
      <w:pPr>
        <w:jc w:val="both"/>
        <w:rPr>
          <w:rFonts w:asciiTheme="majorHAnsi" w:hAnsiTheme="majorHAnsi" w:cs="Arial"/>
        </w:rPr>
      </w:pPr>
      <w:r w:rsidRPr="0007641B">
        <w:rPr>
          <w:rFonts w:asciiTheme="majorHAnsi" w:hAnsiTheme="majorHAnsi" w:cs="Arial"/>
          <w:b/>
        </w:rPr>
        <w:t>Art. 2º.</w:t>
      </w:r>
      <w:r w:rsidRPr="0007641B">
        <w:rPr>
          <w:rFonts w:asciiTheme="majorHAnsi" w:hAnsiTheme="majorHAnsi" w:cs="Arial"/>
        </w:rPr>
        <w:t xml:space="preserve"> O ônus pelo pagamento do benefício de auxílio-reclusão é de responsabilidade do Tesouro Municipal, que adotará, para a sua concessão e gestão, os mesmos critérios fixados pelo Regime Geral de Previdência Social – RGPS.</w:t>
      </w:r>
    </w:p>
    <w:p w:rsidR="000D5DB5" w:rsidRPr="0007641B" w:rsidRDefault="000D5DB5" w:rsidP="000D5DB5">
      <w:pPr>
        <w:jc w:val="both"/>
        <w:rPr>
          <w:rFonts w:asciiTheme="majorHAnsi" w:hAnsiTheme="majorHAnsi" w:cs="Arial"/>
        </w:rPr>
      </w:pPr>
    </w:p>
    <w:p w:rsidR="000D5DB5" w:rsidRPr="0007641B" w:rsidRDefault="000D5DB5" w:rsidP="000D5DB5">
      <w:pPr>
        <w:jc w:val="both"/>
        <w:rPr>
          <w:rFonts w:asciiTheme="majorHAnsi" w:hAnsiTheme="majorHAnsi" w:cs="Arial"/>
        </w:rPr>
      </w:pPr>
      <w:r w:rsidRPr="0007641B">
        <w:rPr>
          <w:rFonts w:asciiTheme="majorHAnsi" w:hAnsiTheme="majorHAnsi" w:cs="Arial"/>
          <w:b/>
        </w:rPr>
        <w:t>Art. 3º.</w:t>
      </w:r>
      <w:r w:rsidRPr="0007641B">
        <w:rPr>
          <w:rFonts w:asciiTheme="majorHAnsi" w:hAnsiTheme="majorHAnsi" w:cs="Arial"/>
        </w:rPr>
        <w:t xml:space="preserve"> Os efeitos desta lei, quanto a aplicação das alíquotas a que se referem os artigos 20 e 23 </w:t>
      </w:r>
      <w:r w:rsidRPr="0007641B">
        <w:rPr>
          <w:rFonts w:asciiTheme="majorHAnsi" w:hAnsiTheme="majorHAnsi" w:cs="Arial"/>
          <w:color w:val="000000"/>
        </w:rPr>
        <w:t xml:space="preserve">da </w:t>
      </w:r>
      <w:r w:rsidRPr="0007641B">
        <w:rPr>
          <w:rFonts w:asciiTheme="majorHAnsi" w:eastAsia="MS Mincho" w:hAnsiTheme="majorHAnsi" w:cs="Arial"/>
        </w:rPr>
        <w:t xml:space="preserve">Lei Complementar Municipal </w:t>
      </w:r>
      <w:r w:rsidRPr="0007641B">
        <w:rPr>
          <w:rFonts w:asciiTheme="majorHAnsi" w:hAnsiTheme="majorHAnsi" w:cs="Arial"/>
          <w:color w:val="000000"/>
        </w:rPr>
        <w:t>nº 021 de 20 de dezembro de 2006</w:t>
      </w:r>
      <w:r w:rsidRPr="0007641B">
        <w:rPr>
          <w:rFonts w:asciiTheme="majorHAnsi" w:hAnsiTheme="majorHAnsi" w:cs="Arial"/>
        </w:rPr>
        <w:t>, entrarão em vigor no primeiro dia do quarto mês subsequente ao da data da publicação da presente lei.</w:t>
      </w:r>
    </w:p>
    <w:p w:rsidR="000D5DB5" w:rsidRPr="0007641B" w:rsidRDefault="000D5DB5" w:rsidP="000D5DB5">
      <w:pPr>
        <w:jc w:val="both"/>
        <w:rPr>
          <w:rFonts w:asciiTheme="majorHAnsi" w:hAnsiTheme="majorHAnsi" w:cs="Arial"/>
          <w:b/>
        </w:rPr>
      </w:pPr>
    </w:p>
    <w:p w:rsidR="000D5DB5" w:rsidRPr="0007641B" w:rsidRDefault="000D5DB5" w:rsidP="000D5DB5">
      <w:pPr>
        <w:jc w:val="both"/>
        <w:rPr>
          <w:rFonts w:asciiTheme="majorHAnsi" w:hAnsiTheme="majorHAnsi" w:cs="Arial"/>
        </w:rPr>
      </w:pPr>
      <w:r w:rsidRPr="0007641B">
        <w:rPr>
          <w:rFonts w:asciiTheme="majorHAnsi" w:hAnsiTheme="majorHAnsi" w:cs="Arial"/>
          <w:b/>
        </w:rPr>
        <w:t>Art. 4º.</w:t>
      </w:r>
      <w:r w:rsidRPr="0007641B">
        <w:rPr>
          <w:rFonts w:asciiTheme="majorHAnsi" w:hAnsiTheme="majorHAnsi" w:cs="Arial"/>
        </w:rPr>
        <w:t xml:space="preserve"> As despesas decorrentes da execução da presente lei serão objeto de dotação orçamentária própria do corrente exercício, podendo ser suplementada, se necessário, devendo a mesma constar dos orçamentos dos exercícios subsequentes.</w:t>
      </w:r>
    </w:p>
    <w:p w:rsidR="000D5DB5" w:rsidRPr="0007641B" w:rsidRDefault="000D5DB5" w:rsidP="000D5DB5">
      <w:pPr>
        <w:pStyle w:val="NormalWeb"/>
        <w:spacing w:before="0" w:after="0"/>
        <w:jc w:val="both"/>
        <w:rPr>
          <w:rFonts w:asciiTheme="majorHAnsi" w:hAnsiTheme="majorHAnsi" w:cs="Arial"/>
          <w:szCs w:val="24"/>
        </w:rPr>
      </w:pPr>
    </w:p>
    <w:p w:rsidR="000D5DB5" w:rsidRPr="0007641B" w:rsidRDefault="000D5DB5" w:rsidP="000D5DB5">
      <w:pPr>
        <w:pStyle w:val="Recuodecorpodetexto"/>
        <w:ind w:left="0"/>
        <w:rPr>
          <w:rFonts w:asciiTheme="majorHAnsi" w:eastAsia="MS Mincho" w:hAnsiTheme="majorHAnsi" w:cs="Arial"/>
          <w:sz w:val="24"/>
        </w:rPr>
      </w:pPr>
      <w:r w:rsidRPr="0007641B">
        <w:rPr>
          <w:rFonts w:asciiTheme="majorHAnsi" w:eastAsia="MS Mincho" w:hAnsiTheme="majorHAnsi" w:cs="Arial"/>
          <w:b/>
          <w:sz w:val="24"/>
        </w:rPr>
        <w:t>Art. 5º.</w:t>
      </w:r>
      <w:r w:rsidRPr="0007641B">
        <w:rPr>
          <w:rFonts w:asciiTheme="majorHAnsi" w:eastAsia="MS Mincho" w:hAnsiTheme="majorHAnsi" w:cs="Arial"/>
          <w:sz w:val="24"/>
        </w:rPr>
        <w:t xml:space="preserve"> Ficam revogados seguintes dispositivos da Lei Complementar nº 021, de 20 de dezembro de 2006:</w:t>
      </w:r>
    </w:p>
    <w:p w:rsidR="000D5DB5" w:rsidRPr="0007641B" w:rsidRDefault="000D5DB5" w:rsidP="000D5DB5">
      <w:pPr>
        <w:pStyle w:val="Recuodecorpodetexto"/>
        <w:ind w:left="0"/>
        <w:rPr>
          <w:rFonts w:asciiTheme="majorHAnsi" w:eastAsia="MS Mincho" w:hAnsiTheme="majorHAnsi" w:cs="Arial"/>
          <w:sz w:val="24"/>
        </w:rPr>
      </w:pPr>
    </w:p>
    <w:p w:rsidR="000D5DB5" w:rsidRPr="0007641B" w:rsidRDefault="000D5DB5" w:rsidP="000D5DB5">
      <w:pPr>
        <w:pStyle w:val="Recuodecorpodetexto"/>
        <w:ind w:left="0"/>
        <w:rPr>
          <w:rFonts w:asciiTheme="majorHAnsi" w:eastAsia="MS Mincho" w:hAnsiTheme="majorHAnsi" w:cs="Arial"/>
          <w:sz w:val="24"/>
        </w:rPr>
      </w:pPr>
      <w:r w:rsidRPr="0007641B">
        <w:rPr>
          <w:rFonts w:asciiTheme="majorHAnsi" w:eastAsia="MS Mincho" w:hAnsiTheme="majorHAnsi" w:cs="Arial"/>
          <w:sz w:val="24"/>
        </w:rPr>
        <w:t>a) alínea “b” do inciso II do artigo 44;</w:t>
      </w:r>
    </w:p>
    <w:p w:rsidR="000D5DB5" w:rsidRPr="0007641B" w:rsidRDefault="000D5DB5" w:rsidP="000D5DB5">
      <w:pPr>
        <w:pStyle w:val="Recuodecorpodetexto"/>
        <w:ind w:left="0"/>
        <w:rPr>
          <w:rFonts w:asciiTheme="majorHAnsi" w:eastAsia="MS Mincho" w:hAnsiTheme="majorHAnsi" w:cs="Arial"/>
          <w:sz w:val="24"/>
        </w:rPr>
      </w:pPr>
    </w:p>
    <w:p w:rsidR="000D5DB5" w:rsidRPr="0007641B" w:rsidRDefault="000D5DB5" w:rsidP="000D5DB5">
      <w:pPr>
        <w:pStyle w:val="Recuodecorpodetexto"/>
        <w:ind w:left="0"/>
        <w:rPr>
          <w:rFonts w:asciiTheme="majorHAnsi" w:eastAsia="MS Mincho" w:hAnsiTheme="majorHAnsi" w:cs="Arial"/>
          <w:sz w:val="24"/>
        </w:rPr>
      </w:pPr>
      <w:r w:rsidRPr="0007641B">
        <w:rPr>
          <w:rFonts w:asciiTheme="majorHAnsi" w:eastAsia="MS Mincho" w:hAnsiTheme="majorHAnsi" w:cs="Arial"/>
          <w:sz w:val="24"/>
        </w:rPr>
        <w:t>b) §5º do artigo 55;</w:t>
      </w:r>
    </w:p>
    <w:p w:rsidR="000D5DB5" w:rsidRPr="0007641B" w:rsidRDefault="000D5DB5" w:rsidP="000D5DB5">
      <w:pPr>
        <w:pStyle w:val="Recuodecorpodetexto"/>
        <w:ind w:left="0"/>
        <w:rPr>
          <w:rFonts w:asciiTheme="majorHAnsi" w:eastAsia="MS Mincho" w:hAnsiTheme="majorHAnsi" w:cs="Arial"/>
          <w:sz w:val="24"/>
        </w:rPr>
      </w:pPr>
    </w:p>
    <w:p w:rsidR="000D5DB5" w:rsidRPr="0007641B" w:rsidRDefault="000D5DB5" w:rsidP="000D5DB5">
      <w:pPr>
        <w:pStyle w:val="Recuodecorpodetexto"/>
        <w:ind w:left="0"/>
        <w:rPr>
          <w:rFonts w:asciiTheme="majorHAnsi" w:eastAsia="MS Mincho" w:hAnsiTheme="majorHAnsi" w:cs="Arial"/>
          <w:sz w:val="24"/>
        </w:rPr>
      </w:pPr>
      <w:r w:rsidRPr="0007641B">
        <w:rPr>
          <w:rFonts w:asciiTheme="majorHAnsi" w:eastAsia="MS Mincho" w:hAnsiTheme="majorHAnsi" w:cs="Arial"/>
          <w:sz w:val="24"/>
        </w:rPr>
        <w:t>c) inciso “IV” do artigo 56;</w:t>
      </w:r>
    </w:p>
    <w:p w:rsidR="000D5DB5" w:rsidRPr="0007641B" w:rsidRDefault="000D5DB5" w:rsidP="000D5DB5">
      <w:pPr>
        <w:pStyle w:val="Recuodecorpodetexto"/>
        <w:ind w:left="0"/>
        <w:rPr>
          <w:rFonts w:asciiTheme="majorHAnsi" w:eastAsia="MS Mincho" w:hAnsiTheme="majorHAnsi" w:cs="Arial"/>
          <w:sz w:val="24"/>
        </w:rPr>
      </w:pPr>
    </w:p>
    <w:p w:rsidR="000D5DB5" w:rsidRPr="0007641B" w:rsidRDefault="000D5DB5" w:rsidP="000D5DB5">
      <w:pPr>
        <w:pStyle w:val="Recuodecorpodetexto"/>
        <w:ind w:left="0"/>
        <w:rPr>
          <w:rFonts w:asciiTheme="majorHAnsi" w:eastAsia="MS Mincho" w:hAnsiTheme="majorHAnsi" w:cs="Arial"/>
          <w:sz w:val="24"/>
        </w:rPr>
      </w:pPr>
      <w:r w:rsidRPr="0007641B">
        <w:rPr>
          <w:rFonts w:asciiTheme="majorHAnsi" w:eastAsia="MS Mincho" w:hAnsiTheme="majorHAnsi" w:cs="Arial"/>
          <w:sz w:val="24"/>
        </w:rPr>
        <w:t>d) artigo 64 e seus parágrafos.</w:t>
      </w:r>
    </w:p>
    <w:p w:rsidR="000D5DB5" w:rsidRPr="0007641B" w:rsidRDefault="000D5DB5" w:rsidP="000D5DB5">
      <w:pPr>
        <w:pStyle w:val="Recuodecorpodetexto"/>
        <w:ind w:left="0"/>
        <w:rPr>
          <w:rFonts w:asciiTheme="majorHAnsi" w:eastAsia="MS Mincho" w:hAnsiTheme="majorHAnsi" w:cs="Arial"/>
          <w:sz w:val="24"/>
        </w:rPr>
      </w:pPr>
    </w:p>
    <w:p w:rsidR="000D5DB5" w:rsidRPr="0007641B" w:rsidRDefault="000D5DB5" w:rsidP="000D5DB5">
      <w:pPr>
        <w:pStyle w:val="Recuodecorpodetexto"/>
        <w:ind w:left="0"/>
        <w:rPr>
          <w:rFonts w:asciiTheme="majorHAnsi" w:hAnsiTheme="majorHAnsi" w:cs="Arial"/>
          <w:b/>
          <w:color w:val="000000"/>
          <w:sz w:val="24"/>
        </w:rPr>
      </w:pPr>
    </w:p>
    <w:p w:rsidR="000D5DB5" w:rsidRPr="0007641B" w:rsidRDefault="000D5DB5" w:rsidP="000D5DB5">
      <w:pPr>
        <w:pStyle w:val="Recuodecorpodetexto"/>
        <w:ind w:left="0"/>
        <w:rPr>
          <w:rFonts w:asciiTheme="majorHAnsi" w:hAnsiTheme="majorHAnsi" w:cs="Arial"/>
          <w:color w:val="000000"/>
          <w:sz w:val="24"/>
        </w:rPr>
      </w:pPr>
      <w:r w:rsidRPr="0007641B">
        <w:rPr>
          <w:rFonts w:asciiTheme="majorHAnsi" w:hAnsiTheme="majorHAnsi" w:cs="Arial"/>
          <w:b/>
          <w:color w:val="000000"/>
          <w:sz w:val="24"/>
        </w:rPr>
        <w:t>Art. 6º.</w:t>
      </w:r>
      <w:r w:rsidRPr="0007641B">
        <w:rPr>
          <w:rFonts w:asciiTheme="majorHAnsi" w:hAnsiTheme="majorHAnsi" w:cs="Arial"/>
          <w:color w:val="000000"/>
          <w:sz w:val="24"/>
        </w:rPr>
        <w:t xml:space="preserve"> Esta Lei Complementar entra em vigor:</w:t>
      </w:r>
    </w:p>
    <w:p w:rsidR="000D5DB5" w:rsidRPr="0007641B" w:rsidRDefault="000D5DB5" w:rsidP="000D5DB5">
      <w:pPr>
        <w:pStyle w:val="Recuodecorpodetexto"/>
        <w:ind w:left="0"/>
        <w:rPr>
          <w:rFonts w:asciiTheme="majorHAnsi" w:hAnsiTheme="majorHAnsi" w:cs="Arial"/>
          <w:color w:val="000000"/>
          <w:sz w:val="24"/>
        </w:rPr>
      </w:pPr>
    </w:p>
    <w:p w:rsidR="000D5DB5" w:rsidRPr="0007641B" w:rsidRDefault="000D5DB5" w:rsidP="000D5DB5">
      <w:pPr>
        <w:pStyle w:val="Recuodecorpodetexto"/>
        <w:ind w:left="0"/>
        <w:rPr>
          <w:rFonts w:asciiTheme="majorHAnsi" w:hAnsiTheme="majorHAnsi" w:cs="Arial"/>
          <w:color w:val="000000"/>
          <w:sz w:val="24"/>
        </w:rPr>
      </w:pPr>
      <w:r w:rsidRPr="0007641B">
        <w:rPr>
          <w:rFonts w:asciiTheme="majorHAnsi" w:hAnsiTheme="majorHAnsi" w:cs="Arial"/>
          <w:color w:val="000000"/>
          <w:sz w:val="24"/>
        </w:rPr>
        <w:t xml:space="preserve"> </w:t>
      </w:r>
      <w:r w:rsidRPr="0007641B">
        <w:rPr>
          <w:rFonts w:asciiTheme="majorHAnsi" w:hAnsiTheme="majorHAnsi" w:cs="Arial"/>
          <w:color w:val="000000"/>
          <w:sz w:val="24"/>
        </w:rPr>
        <w:tab/>
      </w:r>
      <w:r w:rsidRPr="0007641B">
        <w:rPr>
          <w:rFonts w:asciiTheme="majorHAnsi" w:hAnsiTheme="majorHAnsi" w:cs="Arial"/>
          <w:color w:val="000000"/>
          <w:sz w:val="24"/>
        </w:rPr>
        <w:tab/>
        <w:t xml:space="preserve">I – no primeiro dia do quarto mês subsequente ao da data da sua publicação, quanto ao disposto nos artigos 20 e 23 da </w:t>
      </w:r>
      <w:r w:rsidRPr="0007641B">
        <w:rPr>
          <w:rFonts w:asciiTheme="majorHAnsi" w:eastAsia="MS Mincho" w:hAnsiTheme="majorHAnsi" w:cs="Arial"/>
          <w:sz w:val="24"/>
        </w:rPr>
        <w:t xml:space="preserve">Lei Complementar Municipal </w:t>
      </w:r>
      <w:r w:rsidRPr="0007641B">
        <w:rPr>
          <w:rFonts w:asciiTheme="majorHAnsi" w:hAnsiTheme="majorHAnsi" w:cs="Arial"/>
          <w:color w:val="000000"/>
          <w:sz w:val="24"/>
        </w:rPr>
        <w:t>nº 021, de 20 de dezembro de 2006.</w:t>
      </w:r>
    </w:p>
    <w:p w:rsidR="000D5DB5" w:rsidRPr="0007641B" w:rsidRDefault="000D5DB5" w:rsidP="000D5DB5">
      <w:pPr>
        <w:pStyle w:val="Recuodecorpodetexto"/>
        <w:ind w:left="0"/>
        <w:rPr>
          <w:rFonts w:asciiTheme="majorHAnsi" w:hAnsiTheme="majorHAnsi" w:cs="Arial"/>
          <w:color w:val="000000"/>
          <w:sz w:val="24"/>
        </w:rPr>
      </w:pPr>
    </w:p>
    <w:p w:rsidR="000D5DB5" w:rsidRPr="0007641B" w:rsidRDefault="000D5DB5" w:rsidP="000D5DB5">
      <w:pPr>
        <w:pStyle w:val="Recuodecorpodetexto"/>
        <w:ind w:left="0"/>
        <w:rPr>
          <w:rFonts w:asciiTheme="majorHAnsi" w:hAnsiTheme="majorHAnsi" w:cs="Arial"/>
          <w:color w:val="000000"/>
          <w:sz w:val="24"/>
        </w:rPr>
      </w:pPr>
      <w:r w:rsidRPr="0007641B">
        <w:rPr>
          <w:rFonts w:asciiTheme="majorHAnsi" w:hAnsiTheme="majorHAnsi" w:cs="Arial"/>
          <w:color w:val="000000"/>
          <w:sz w:val="24"/>
        </w:rPr>
        <w:t xml:space="preserve"> </w:t>
      </w:r>
      <w:r w:rsidRPr="0007641B">
        <w:rPr>
          <w:rFonts w:asciiTheme="majorHAnsi" w:hAnsiTheme="majorHAnsi" w:cs="Arial"/>
          <w:color w:val="000000"/>
          <w:sz w:val="24"/>
        </w:rPr>
        <w:tab/>
      </w:r>
      <w:r w:rsidRPr="0007641B">
        <w:rPr>
          <w:rFonts w:asciiTheme="majorHAnsi" w:hAnsiTheme="majorHAnsi" w:cs="Arial"/>
          <w:color w:val="000000"/>
          <w:sz w:val="24"/>
        </w:rPr>
        <w:tab/>
        <w:t>II – na data da sua publicação, para os demais dispositivos.</w:t>
      </w:r>
    </w:p>
    <w:p w:rsidR="005814A9" w:rsidRPr="0007641B" w:rsidRDefault="005814A9" w:rsidP="00404ED9">
      <w:pPr>
        <w:contextualSpacing/>
        <w:jc w:val="both"/>
        <w:rPr>
          <w:rFonts w:asciiTheme="majorHAnsi" w:hAnsiTheme="majorHAnsi" w:cs="Arial"/>
          <w:lang w:eastAsia="ar-SA"/>
        </w:rPr>
      </w:pPr>
    </w:p>
    <w:p w:rsidR="00CE2B7A" w:rsidRPr="0007641B" w:rsidRDefault="0009339E" w:rsidP="00404ED9">
      <w:pPr>
        <w:contextualSpacing/>
        <w:jc w:val="center"/>
        <w:rPr>
          <w:rFonts w:asciiTheme="majorHAnsi" w:hAnsiTheme="majorHAnsi" w:cs="Arial"/>
          <w:iCs/>
        </w:rPr>
      </w:pPr>
      <w:r w:rsidRPr="0007641B">
        <w:rPr>
          <w:rFonts w:asciiTheme="majorHAnsi" w:hAnsiTheme="majorHAnsi" w:cs="Arial"/>
          <w:iCs/>
        </w:rPr>
        <w:t xml:space="preserve">Porto Murtinho – MS, </w:t>
      </w:r>
      <w:r w:rsidR="000D5DB5" w:rsidRPr="0007641B">
        <w:rPr>
          <w:rFonts w:asciiTheme="majorHAnsi" w:hAnsiTheme="majorHAnsi" w:cs="Arial"/>
          <w:iCs/>
        </w:rPr>
        <w:t>10 de julho</w:t>
      </w:r>
      <w:r w:rsidR="009851FC" w:rsidRPr="0007641B">
        <w:rPr>
          <w:rFonts w:asciiTheme="majorHAnsi" w:hAnsiTheme="majorHAnsi" w:cs="Arial"/>
          <w:iCs/>
        </w:rPr>
        <w:t xml:space="preserve"> de 2020</w:t>
      </w:r>
      <w:r w:rsidR="008C2CF2" w:rsidRPr="0007641B">
        <w:rPr>
          <w:rFonts w:asciiTheme="majorHAnsi" w:hAnsiTheme="majorHAnsi" w:cs="Arial"/>
          <w:iCs/>
        </w:rPr>
        <w:t>.</w:t>
      </w:r>
    </w:p>
    <w:p w:rsidR="00A00526" w:rsidRDefault="00A00526" w:rsidP="00404ED9">
      <w:pPr>
        <w:contextualSpacing/>
        <w:jc w:val="center"/>
        <w:rPr>
          <w:rFonts w:asciiTheme="majorHAnsi" w:hAnsiTheme="majorHAnsi" w:cs="Arial"/>
          <w:iCs/>
        </w:rPr>
      </w:pPr>
    </w:p>
    <w:p w:rsidR="0007641B" w:rsidRPr="0007641B" w:rsidRDefault="0007641B" w:rsidP="00404ED9">
      <w:pPr>
        <w:contextualSpacing/>
        <w:jc w:val="center"/>
        <w:rPr>
          <w:rFonts w:asciiTheme="majorHAnsi" w:hAnsiTheme="majorHAnsi" w:cs="Arial"/>
          <w:iCs/>
        </w:rPr>
      </w:pPr>
    </w:p>
    <w:p w:rsidR="003B3E65" w:rsidRPr="0007641B" w:rsidRDefault="003B3E65" w:rsidP="00404ED9">
      <w:pPr>
        <w:contextualSpacing/>
        <w:jc w:val="center"/>
        <w:rPr>
          <w:rFonts w:asciiTheme="majorHAnsi" w:hAnsiTheme="majorHAnsi" w:cs="Arial"/>
          <w:iCs/>
        </w:rPr>
      </w:pPr>
    </w:p>
    <w:p w:rsidR="00CE2B7A" w:rsidRPr="0007641B" w:rsidRDefault="00CE2B7A" w:rsidP="00404ED9">
      <w:pPr>
        <w:contextualSpacing/>
        <w:jc w:val="center"/>
        <w:rPr>
          <w:rFonts w:asciiTheme="majorHAnsi" w:hAnsiTheme="majorHAnsi" w:cs="Arial"/>
          <w:b/>
          <w:iCs/>
        </w:rPr>
      </w:pPr>
      <w:r w:rsidRPr="0007641B">
        <w:rPr>
          <w:rFonts w:asciiTheme="majorHAnsi" w:hAnsiTheme="majorHAnsi" w:cs="Arial"/>
          <w:b/>
          <w:iCs/>
        </w:rPr>
        <w:t>DERLEI JOÃO DELEVATTI</w:t>
      </w:r>
    </w:p>
    <w:p w:rsidR="00CE2B7A" w:rsidRPr="0007641B" w:rsidRDefault="00CE2B7A" w:rsidP="00404ED9">
      <w:pPr>
        <w:contextualSpacing/>
        <w:jc w:val="center"/>
        <w:rPr>
          <w:rFonts w:asciiTheme="majorHAnsi" w:hAnsiTheme="majorHAnsi" w:cs="Arial"/>
          <w:iCs/>
        </w:rPr>
      </w:pPr>
      <w:r w:rsidRPr="0007641B">
        <w:rPr>
          <w:rFonts w:asciiTheme="majorHAnsi" w:hAnsiTheme="majorHAnsi" w:cs="Arial"/>
          <w:iCs/>
        </w:rPr>
        <w:t>Prefeito Municipal</w:t>
      </w:r>
    </w:p>
    <w:sectPr w:rsidR="00CE2B7A" w:rsidRPr="0007641B" w:rsidSect="00E5546D">
      <w:headerReference w:type="default"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FAF" w:rsidRDefault="00086FAF">
      <w:r>
        <w:separator/>
      </w:r>
    </w:p>
  </w:endnote>
  <w:endnote w:type="continuationSeparator" w:id="0">
    <w:p w:rsidR="00086FAF" w:rsidRDefault="0008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AFOMB+TimesNewRoman">
    <w:altName w:val="Times New Roman"/>
    <w:charset w:val="00"/>
    <w:family w:val="roman"/>
    <w:notTrueType/>
    <w:pitch w:val="default"/>
    <w:sig w:usb0="00000003" w:usb1="00000000" w:usb2="00000000" w:usb3="00000000" w:csb0="00000001" w:csb1="00000000"/>
  </w:font>
  <w:font w:name="Cambria">
    <w:altName w:val="Arial"/>
    <w:panose1 w:val="02040503050406030204"/>
    <w:charset w:val="00"/>
    <w:family w:val="roman"/>
    <w:pitch w:val="variable"/>
    <w:sig w:usb0="00000001"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ED9" w:rsidRPr="008F1DFE" w:rsidRDefault="00404ED9" w:rsidP="00E5546D">
    <w:pPr>
      <w:jc w:val="center"/>
      <w:rPr>
        <w:rFonts w:ascii="Arial" w:hAnsi="Arial" w:cs="Arial"/>
      </w:rPr>
    </w:pPr>
    <w:r w:rsidRPr="008F1DFE">
      <w:rPr>
        <w:rFonts w:ascii="Arial" w:hAnsi="Arial" w:cs="Arial"/>
      </w:rPr>
      <w:t>RUA PEDRO CELESTINO, S/N – EDIFÍCIO JORGE ABRÃO - CENTRO</w:t>
    </w:r>
  </w:p>
  <w:p w:rsidR="00404ED9" w:rsidRPr="008F1DFE" w:rsidRDefault="00404ED9" w:rsidP="00E5546D">
    <w:pPr>
      <w:pStyle w:val="Cabealho"/>
      <w:jc w:val="center"/>
      <w:rPr>
        <w:rFonts w:ascii="Arial" w:hAnsi="Arial" w:cs="Arial"/>
      </w:rPr>
    </w:pPr>
    <w:r w:rsidRPr="008F1DFE">
      <w:rPr>
        <w:rFonts w:ascii="Arial" w:hAnsi="Arial" w:cs="Arial"/>
      </w:rPr>
      <w:t>FONE: (67) 3287-</w:t>
    </w:r>
    <w:r>
      <w:rPr>
        <w:rFonts w:ascii="Arial" w:hAnsi="Arial" w:cs="Arial"/>
      </w:rPr>
      <w:t>4518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FAF" w:rsidRDefault="00086FAF">
      <w:r>
        <w:separator/>
      </w:r>
    </w:p>
  </w:footnote>
  <w:footnote w:type="continuationSeparator" w:id="0">
    <w:p w:rsidR="00086FAF" w:rsidRDefault="00086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ED9" w:rsidRDefault="00404ED9" w:rsidP="009851FC">
    <w:pPr>
      <w:pStyle w:val="Cabealho"/>
      <w:tabs>
        <w:tab w:val="center" w:pos="4535"/>
        <w:tab w:val="left" w:pos="6150"/>
      </w:tabs>
      <w:rPr>
        <w:rFonts w:ascii="Arial" w:hAnsi="Arial" w:cs="Arial"/>
        <w:b/>
      </w:rPr>
    </w:pPr>
    <w:r>
      <w:rPr>
        <w:rFonts w:ascii="Arial" w:hAnsi="Arial" w:cs="Arial"/>
        <w:b/>
      </w:rPr>
      <w:tab/>
    </w:r>
    <w:r w:rsidR="00912FD6">
      <w:rPr>
        <w:rFonts w:ascii="Calibri" w:hAnsi="Calibri"/>
        <w:noProof/>
        <w:lang w:val="en-US"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07.3pt;margin-top:-20.1pt;width:46.2pt;height:47.5pt;z-index:-251657216;mso-wrap-edited:f;mso-position-horizontal-relative:text;mso-position-vertical-relative:text" wrapcoords="-218 0 -218 21373 21600 21373 21600 0 -218 0" fillcolor="window">
          <v:imagedata r:id="rId1" o:title=""/>
          <w10:wrap type="topAndBottom"/>
        </v:shape>
        <o:OLEObject Type="Embed" ProgID="PBrush" ShapeID="_x0000_s1025" DrawAspect="Content" ObjectID="_1657464907" r:id="rId2"/>
      </w:object>
    </w:r>
    <w:r>
      <w:rPr>
        <w:rFonts w:ascii="Arial" w:hAnsi="Arial" w:cs="Arial"/>
        <w:b/>
      </w:rPr>
      <w:t>ESTADO DE MATO GROSSO DO SUL</w:t>
    </w:r>
  </w:p>
  <w:p w:rsidR="00404ED9" w:rsidRDefault="00404ED9" w:rsidP="00E5546D">
    <w:pPr>
      <w:pStyle w:val="Cabealho"/>
      <w:jc w:val="center"/>
      <w:rPr>
        <w:rFonts w:ascii="Arial" w:hAnsi="Arial" w:cs="Arial"/>
        <w:b/>
      </w:rPr>
    </w:pPr>
    <w:r>
      <w:rPr>
        <w:rFonts w:ascii="Arial" w:hAnsi="Arial" w:cs="Arial"/>
        <w:b/>
      </w:rPr>
      <w:t>PREFEITURA MUNICIPAL DE PORTO MURTINHO</w:t>
    </w:r>
  </w:p>
  <w:p w:rsidR="00404ED9" w:rsidRDefault="00404ED9" w:rsidP="00E5546D">
    <w:pPr>
      <w:pStyle w:val="Cabealho"/>
      <w:jc w:val="center"/>
      <w:rPr>
        <w:rFonts w:ascii="Arial" w:hAnsi="Arial" w:cs="Arial"/>
        <w:b/>
      </w:rPr>
    </w:pPr>
    <w:r>
      <w:rPr>
        <w:rFonts w:ascii="Arial" w:hAnsi="Arial" w:cs="Arial"/>
        <w:b/>
      </w:rPr>
      <w:t>GABINETE DO PREFEITO</w:t>
    </w:r>
  </w:p>
  <w:p w:rsidR="00404ED9" w:rsidRPr="0009339E" w:rsidRDefault="00404ED9" w:rsidP="00E5546D">
    <w:pPr>
      <w:pStyle w:val="Cabealho"/>
      <w:jc w:val="center"/>
      <w:rPr>
        <w:rFonts w:ascii="Arial" w:hAnsi="Arial" w:cs="Arial"/>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44B26"/>
    <w:multiLevelType w:val="hybridMultilevel"/>
    <w:tmpl w:val="006EFE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9E138D"/>
    <w:multiLevelType w:val="hybridMultilevel"/>
    <w:tmpl w:val="793A39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6821FD6"/>
    <w:multiLevelType w:val="hybridMultilevel"/>
    <w:tmpl w:val="56F6A4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EF26DCA"/>
    <w:multiLevelType w:val="hybridMultilevel"/>
    <w:tmpl w:val="5CB64852"/>
    <w:lvl w:ilvl="0" w:tplc="107256FC">
      <w:start w:val="1"/>
      <w:numFmt w:val="lowerLetter"/>
      <w:lvlText w:val="%1)"/>
      <w:lvlJc w:val="left"/>
      <w:pPr>
        <w:ind w:left="3240" w:hanging="360"/>
      </w:pPr>
      <w:rPr>
        <w:rFonts w:hint="default"/>
      </w:r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4" w15:restartNumberingAfterBreak="0">
    <w:nsid w:val="218B07C1"/>
    <w:multiLevelType w:val="hybridMultilevel"/>
    <w:tmpl w:val="7D4E88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23465C1"/>
    <w:multiLevelType w:val="hybridMultilevel"/>
    <w:tmpl w:val="8738F154"/>
    <w:lvl w:ilvl="0" w:tplc="49CEB57A">
      <w:start w:val="1"/>
      <w:numFmt w:val="lowerLetter"/>
      <w:lvlText w:val="%1)"/>
      <w:lvlJc w:val="left"/>
      <w:pPr>
        <w:ind w:left="252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6" w15:restartNumberingAfterBreak="0">
    <w:nsid w:val="2B22636C"/>
    <w:multiLevelType w:val="hybridMultilevel"/>
    <w:tmpl w:val="EB967040"/>
    <w:lvl w:ilvl="0" w:tplc="14C898FE">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2EA643A3"/>
    <w:multiLevelType w:val="hybridMultilevel"/>
    <w:tmpl w:val="943650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ECD3925"/>
    <w:multiLevelType w:val="hybridMultilevel"/>
    <w:tmpl w:val="B9D80D20"/>
    <w:lvl w:ilvl="0" w:tplc="5CDE0810">
      <w:start w:val="1"/>
      <w:numFmt w:val="lowerLetter"/>
      <w:lvlText w:val="%1)"/>
      <w:lvlJc w:val="left"/>
      <w:pPr>
        <w:ind w:left="3600" w:hanging="360"/>
      </w:pPr>
      <w:rPr>
        <w:rFonts w:hint="default"/>
      </w:r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9" w15:restartNumberingAfterBreak="0">
    <w:nsid w:val="4593493E"/>
    <w:multiLevelType w:val="hybridMultilevel"/>
    <w:tmpl w:val="6E94BD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6545704"/>
    <w:multiLevelType w:val="hybridMultilevel"/>
    <w:tmpl w:val="344EDFFE"/>
    <w:lvl w:ilvl="0" w:tplc="04F45A1A">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1" w15:restartNumberingAfterBreak="0">
    <w:nsid w:val="48E07F92"/>
    <w:multiLevelType w:val="hybridMultilevel"/>
    <w:tmpl w:val="6C1E5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FAE0B84"/>
    <w:multiLevelType w:val="hybridMultilevel"/>
    <w:tmpl w:val="DC30AED4"/>
    <w:lvl w:ilvl="0" w:tplc="D00E388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5302296D"/>
    <w:multiLevelType w:val="hybridMultilevel"/>
    <w:tmpl w:val="68ACF788"/>
    <w:lvl w:ilvl="0" w:tplc="ECE25D30">
      <w:start w:val="1"/>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4" w15:restartNumberingAfterBreak="0">
    <w:nsid w:val="53A65D6F"/>
    <w:multiLevelType w:val="hybridMultilevel"/>
    <w:tmpl w:val="A9DAC2C2"/>
    <w:lvl w:ilvl="0" w:tplc="8B388F66">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5" w15:restartNumberingAfterBreak="0">
    <w:nsid w:val="58B56ABD"/>
    <w:multiLevelType w:val="hybridMultilevel"/>
    <w:tmpl w:val="AB962A16"/>
    <w:lvl w:ilvl="0" w:tplc="5E542C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591C4D8D"/>
    <w:multiLevelType w:val="hybridMultilevel"/>
    <w:tmpl w:val="05A6F9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A174CFB"/>
    <w:multiLevelType w:val="hybridMultilevel"/>
    <w:tmpl w:val="4B30E0D8"/>
    <w:lvl w:ilvl="0" w:tplc="AE7EA4F8">
      <w:start w:val="1"/>
      <w:numFmt w:val="lowerLetter"/>
      <w:lvlText w:val="%1)"/>
      <w:lvlJc w:val="left"/>
      <w:pPr>
        <w:ind w:left="1506" w:hanging="360"/>
      </w:pPr>
      <w:rPr>
        <w:rFonts w:hint="default"/>
      </w:rPr>
    </w:lvl>
    <w:lvl w:ilvl="1" w:tplc="04160019" w:tentative="1">
      <w:start w:val="1"/>
      <w:numFmt w:val="lowerLetter"/>
      <w:lvlText w:val="%2."/>
      <w:lvlJc w:val="left"/>
      <w:pPr>
        <w:ind w:left="2226" w:hanging="360"/>
      </w:pPr>
    </w:lvl>
    <w:lvl w:ilvl="2" w:tplc="0416001B" w:tentative="1">
      <w:start w:val="1"/>
      <w:numFmt w:val="lowerRoman"/>
      <w:lvlText w:val="%3."/>
      <w:lvlJc w:val="right"/>
      <w:pPr>
        <w:ind w:left="2946" w:hanging="180"/>
      </w:pPr>
    </w:lvl>
    <w:lvl w:ilvl="3" w:tplc="0416000F" w:tentative="1">
      <w:start w:val="1"/>
      <w:numFmt w:val="decimal"/>
      <w:lvlText w:val="%4."/>
      <w:lvlJc w:val="left"/>
      <w:pPr>
        <w:ind w:left="3666" w:hanging="360"/>
      </w:pPr>
    </w:lvl>
    <w:lvl w:ilvl="4" w:tplc="04160019" w:tentative="1">
      <w:start w:val="1"/>
      <w:numFmt w:val="lowerLetter"/>
      <w:lvlText w:val="%5."/>
      <w:lvlJc w:val="left"/>
      <w:pPr>
        <w:ind w:left="4386" w:hanging="360"/>
      </w:pPr>
    </w:lvl>
    <w:lvl w:ilvl="5" w:tplc="0416001B" w:tentative="1">
      <w:start w:val="1"/>
      <w:numFmt w:val="lowerRoman"/>
      <w:lvlText w:val="%6."/>
      <w:lvlJc w:val="right"/>
      <w:pPr>
        <w:ind w:left="5106" w:hanging="180"/>
      </w:pPr>
    </w:lvl>
    <w:lvl w:ilvl="6" w:tplc="0416000F" w:tentative="1">
      <w:start w:val="1"/>
      <w:numFmt w:val="decimal"/>
      <w:lvlText w:val="%7."/>
      <w:lvlJc w:val="left"/>
      <w:pPr>
        <w:ind w:left="5826" w:hanging="360"/>
      </w:pPr>
    </w:lvl>
    <w:lvl w:ilvl="7" w:tplc="04160019" w:tentative="1">
      <w:start w:val="1"/>
      <w:numFmt w:val="lowerLetter"/>
      <w:lvlText w:val="%8."/>
      <w:lvlJc w:val="left"/>
      <w:pPr>
        <w:ind w:left="6546" w:hanging="360"/>
      </w:pPr>
    </w:lvl>
    <w:lvl w:ilvl="8" w:tplc="0416001B" w:tentative="1">
      <w:start w:val="1"/>
      <w:numFmt w:val="lowerRoman"/>
      <w:lvlText w:val="%9."/>
      <w:lvlJc w:val="right"/>
      <w:pPr>
        <w:ind w:left="7266" w:hanging="180"/>
      </w:pPr>
    </w:lvl>
  </w:abstractNum>
  <w:abstractNum w:abstractNumId="18" w15:restartNumberingAfterBreak="0">
    <w:nsid w:val="71076AAE"/>
    <w:multiLevelType w:val="hybridMultilevel"/>
    <w:tmpl w:val="1292CF24"/>
    <w:lvl w:ilvl="0" w:tplc="19042202">
      <w:start w:val="1"/>
      <w:numFmt w:val="lowerLetter"/>
      <w:lvlText w:val="%1)"/>
      <w:lvlJc w:val="left"/>
      <w:pPr>
        <w:ind w:left="2880" w:hanging="36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9" w15:restartNumberingAfterBreak="0">
    <w:nsid w:val="7DB14211"/>
    <w:multiLevelType w:val="hybridMultilevel"/>
    <w:tmpl w:val="9ABEED48"/>
    <w:lvl w:ilvl="0" w:tplc="9FC25CC6">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2"/>
  </w:num>
  <w:num w:numId="2">
    <w:abstractNumId w:val="16"/>
  </w:num>
  <w:num w:numId="3">
    <w:abstractNumId w:val="0"/>
  </w:num>
  <w:num w:numId="4">
    <w:abstractNumId w:val="9"/>
  </w:num>
  <w:num w:numId="5">
    <w:abstractNumId w:val="7"/>
  </w:num>
  <w:num w:numId="6">
    <w:abstractNumId w:val="11"/>
  </w:num>
  <w:num w:numId="7">
    <w:abstractNumId w:val="12"/>
  </w:num>
  <w:num w:numId="8">
    <w:abstractNumId w:val="15"/>
  </w:num>
  <w:num w:numId="9">
    <w:abstractNumId w:val="19"/>
  </w:num>
  <w:num w:numId="10">
    <w:abstractNumId w:val="14"/>
  </w:num>
  <w:num w:numId="11">
    <w:abstractNumId w:val="5"/>
  </w:num>
  <w:num w:numId="12">
    <w:abstractNumId w:val="18"/>
  </w:num>
  <w:num w:numId="13">
    <w:abstractNumId w:val="3"/>
  </w:num>
  <w:num w:numId="14">
    <w:abstractNumId w:val="8"/>
  </w:num>
  <w:num w:numId="15">
    <w:abstractNumId w:val="4"/>
  </w:num>
  <w:num w:numId="16">
    <w:abstractNumId w:val="6"/>
  </w:num>
  <w:num w:numId="17">
    <w:abstractNumId w:val="13"/>
  </w:num>
  <w:num w:numId="18">
    <w:abstractNumId w:val="17"/>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B7A"/>
    <w:rsid w:val="00011D56"/>
    <w:rsid w:val="00017B4D"/>
    <w:rsid w:val="00021941"/>
    <w:rsid w:val="000506CD"/>
    <w:rsid w:val="0007641B"/>
    <w:rsid w:val="00080EBA"/>
    <w:rsid w:val="00086FAF"/>
    <w:rsid w:val="0009339E"/>
    <w:rsid w:val="000B66E9"/>
    <w:rsid w:val="000D5DB5"/>
    <w:rsid w:val="00124A17"/>
    <w:rsid w:val="00131AFE"/>
    <w:rsid w:val="00161EC9"/>
    <w:rsid w:val="00167424"/>
    <w:rsid w:val="0017732C"/>
    <w:rsid w:val="0019494B"/>
    <w:rsid w:val="001E3760"/>
    <w:rsid w:val="002B2175"/>
    <w:rsid w:val="002E1E37"/>
    <w:rsid w:val="002E48B8"/>
    <w:rsid w:val="003B3E65"/>
    <w:rsid w:val="003C263E"/>
    <w:rsid w:val="00404ED9"/>
    <w:rsid w:val="004055AD"/>
    <w:rsid w:val="00410E36"/>
    <w:rsid w:val="0047771D"/>
    <w:rsid w:val="004A28FC"/>
    <w:rsid w:val="00502E52"/>
    <w:rsid w:val="0052625C"/>
    <w:rsid w:val="00563555"/>
    <w:rsid w:val="005708C0"/>
    <w:rsid w:val="005814A9"/>
    <w:rsid w:val="00587FEC"/>
    <w:rsid w:val="005A61F5"/>
    <w:rsid w:val="005E288D"/>
    <w:rsid w:val="00666EFA"/>
    <w:rsid w:val="006B4938"/>
    <w:rsid w:val="006C2F25"/>
    <w:rsid w:val="006D4A2E"/>
    <w:rsid w:val="006E7A68"/>
    <w:rsid w:val="006F7C30"/>
    <w:rsid w:val="00721C65"/>
    <w:rsid w:val="007314E0"/>
    <w:rsid w:val="00741D97"/>
    <w:rsid w:val="007F14B4"/>
    <w:rsid w:val="00832410"/>
    <w:rsid w:val="00875FB9"/>
    <w:rsid w:val="008B660A"/>
    <w:rsid w:val="008C2CF2"/>
    <w:rsid w:val="00904D7D"/>
    <w:rsid w:val="00912FD6"/>
    <w:rsid w:val="00923517"/>
    <w:rsid w:val="00963318"/>
    <w:rsid w:val="009754FE"/>
    <w:rsid w:val="009851FC"/>
    <w:rsid w:val="009A45DC"/>
    <w:rsid w:val="00A00526"/>
    <w:rsid w:val="00A42A04"/>
    <w:rsid w:val="00A51AB2"/>
    <w:rsid w:val="00A6551F"/>
    <w:rsid w:val="00A728D9"/>
    <w:rsid w:val="00AB71DA"/>
    <w:rsid w:val="00AE156E"/>
    <w:rsid w:val="00B07F8A"/>
    <w:rsid w:val="00B76DFD"/>
    <w:rsid w:val="00B96942"/>
    <w:rsid w:val="00B97D8F"/>
    <w:rsid w:val="00BA75B0"/>
    <w:rsid w:val="00BB5393"/>
    <w:rsid w:val="00BB565C"/>
    <w:rsid w:val="00BC033A"/>
    <w:rsid w:val="00C16A65"/>
    <w:rsid w:val="00C23818"/>
    <w:rsid w:val="00C3444F"/>
    <w:rsid w:val="00C36607"/>
    <w:rsid w:val="00C37F1C"/>
    <w:rsid w:val="00C45C4A"/>
    <w:rsid w:val="00C61F34"/>
    <w:rsid w:val="00C62182"/>
    <w:rsid w:val="00CA3654"/>
    <w:rsid w:val="00CD050C"/>
    <w:rsid w:val="00CE2B7A"/>
    <w:rsid w:val="00D0334B"/>
    <w:rsid w:val="00DA6798"/>
    <w:rsid w:val="00DD20FB"/>
    <w:rsid w:val="00E5546D"/>
    <w:rsid w:val="00E75D6A"/>
    <w:rsid w:val="00E9026C"/>
    <w:rsid w:val="00E9324B"/>
    <w:rsid w:val="00FE5748"/>
    <w:rsid w:val="00FF18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DA7F7D81-EB76-4C62-B6B5-EFA3F818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B7A"/>
    <w:pPr>
      <w:spacing w:after="0" w:line="240" w:lineRule="auto"/>
      <w:jc w:val="left"/>
    </w:pPr>
    <w:rPr>
      <w:rFonts w:ascii="Times New Roman" w:eastAsia="Times New Roman" w:hAnsi="Times New Roman" w:cs="Times New Roman"/>
      <w:sz w:val="24"/>
      <w:szCs w:val="24"/>
      <w:lang w:eastAsia="pt-BR"/>
    </w:rPr>
  </w:style>
  <w:style w:type="paragraph" w:styleId="Ttulo1">
    <w:name w:val="heading 1"/>
    <w:basedOn w:val="Normal"/>
    <w:link w:val="Ttulo1Char"/>
    <w:qFormat/>
    <w:rsid w:val="00CE2B7A"/>
    <w:pPr>
      <w:keepNext/>
      <w:overflowPunct w:val="0"/>
      <w:autoSpaceDE w:val="0"/>
      <w:autoSpaceDN w:val="0"/>
      <w:adjustRightInd w:val="0"/>
      <w:spacing w:line="360" w:lineRule="auto"/>
      <w:jc w:val="center"/>
      <w:textAlignment w:val="baseline"/>
      <w:outlineLvl w:val="0"/>
    </w:pPr>
    <w:rPr>
      <w:rFonts w:ascii="Arial" w:hAnsi="Arial" w:cs="Arial"/>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2B7A"/>
    <w:rPr>
      <w:rFonts w:ascii="Arial" w:eastAsia="Times New Roman" w:hAnsi="Arial" w:cs="Arial"/>
      <w:b/>
      <w:bCs/>
      <w:sz w:val="36"/>
      <w:szCs w:val="36"/>
      <w:lang w:eastAsia="pt-BR"/>
    </w:rPr>
  </w:style>
  <w:style w:type="paragraph" w:styleId="Cabealho">
    <w:name w:val="header"/>
    <w:basedOn w:val="Normal"/>
    <w:link w:val="CabealhoChar"/>
    <w:unhideWhenUsed/>
    <w:rsid w:val="00CE2B7A"/>
    <w:pPr>
      <w:tabs>
        <w:tab w:val="center" w:pos="4680"/>
        <w:tab w:val="right" w:pos="9360"/>
      </w:tabs>
    </w:pPr>
  </w:style>
  <w:style w:type="character" w:customStyle="1" w:styleId="CabealhoChar">
    <w:name w:val="Cabeçalho Char"/>
    <w:basedOn w:val="Fontepargpadro"/>
    <w:link w:val="Cabealho"/>
    <w:rsid w:val="00CE2B7A"/>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E2B7A"/>
    <w:rPr>
      <w:b/>
      <w:bCs/>
    </w:rPr>
  </w:style>
  <w:style w:type="paragraph" w:styleId="Rodap">
    <w:name w:val="footer"/>
    <w:basedOn w:val="Normal"/>
    <w:link w:val="RodapChar"/>
    <w:uiPriority w:val="99"/>
    <w:unhideWhenUsed/>
    <w:rsid w:val="0009339E"/>
    <w:pPr>
      <w:tabs>
        <w:tab w:val="center" w:pos="4419"/>
        <w:tab w:val="right" w:pos="8838"/>
      </w:tabs>
    </w:pPr>
  </w:style>
  <w:style w:type="character" w:customStyle="1" w:styleId="RodapChar">
    <w:name w:val="Rodapé Char"/>
    <w:basedOn w:val="Fontepargpadro"/>
    <w:link w:val="Rodap"/>
    <w:uiPriority w:val="99"/>
    <w:rsid w:val="0009339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9339E"/>
    <w:rPr>
      <w:rFonts w:ascii="Segoe UI" w:hAnsi="Segoe UI" w:cs="Segoe UI"/>
      <w:sz w:val="18"/>
      <w:szCs w:val="18"/>
    </w:rPr>
  </w:style>
  <w:style w:type="character" w:customStyle="1" w:styleId="TextodebaloChar">
    <w:name w:val="Texto de balão Char"/>
    <w:basedOn w:val="Fontepargpadro"/>
    <w:link w:val="Textodebalo"/>
    <w:uiPriority w:val="99"/>
    <w:semiHidden/>
    <w:rsid w:val="0009339E"/>
    <w:rPr>
      <w:rFonts w:ascii="Segoe UI" w:eastAsia="Times New Roman" w:hAnsi="Segoe UI" w:cs="Segoe UI"/>
      <w:sz w:val="18"/>
      <w:szCs w:val="18"/>
      <w:lang w:eastAsia="pt-BR"/>
    </w:rPr>
  </w:style>
  <w:style w:type="paragraph" w:customStyle="1" w:styleId="ecmsonormal">
    <w:name w:val="ec_msonormal"/>
    <w:basedOn w:val="Normal"/>
    <w:rsid w:val="00904D7D"/>
    <w:pPr>
      <w:spacing w:after="324"/>
    </w:pPr>
  </w:style>
  <w:style w:type="paragraph" w:styleId="PargrafodaLista">
    <w:name w:val="List Paragraph"/>
    <w:basedOn w:val="Normal"/>
    <w:uiPriority w:val="34"/>
    <w:qFormat/>
    <w:rsid w:val="005814A9"/>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semiHidden/>
    <w:rsid w:val="000D5DB5"/>
    <w:pPr>
      <w:ind w:left="3600"/>
      <w:jc w:val="both"/>
    </w:pPr>
    <w:rPr>
      <w:rFonts w:ascii="Franklin Gothic Medium" w:hAnsi="Franklin Gothic Medium"/>
      <w:sz w:val="28"/>
    </w:rPr>
  </w:style>
  <w:style w:type="character" w:customStyle="1" w:styleId="RecuodecorpodetextoChar">
    <w:name w:val="Recuo de corpo de texto Char"/>
    <w:basedOn w:val="Fontepargpadro"/>
    <w:link w:val="Recuodecorpodetexto"/>
    <w:semiHidden/>
    <w:rsid w:val="000D5DB5"/>
    <w:rPr>
      <w:rFonts w:ascii="Franklin Gothic Medium" w:eastAsia="Times New Roman" w:hAnsi="Franklin Gothic Medium" w:cs="Times New Roman"/>
      <w:sz w:val="28"/>
      <w:szCs w:val="24"/>
      <w:lang w:eastAsia="pt-BR"/>
    </w:rPr>
  </w:style>
  <w:style w:type="paragraph" w:styleId="Recuodecorpodetexto3">
    <w:name w:val="Body Text Indent 3"/>
    <w:basedOn w:val="Normal"/>
    <w:link w:val="Recuodecorpodetexto3Char"/>
    <w:semiHidden/>
    <w:rsid w:val="000D5DB5"/>
    <w:pPr>
      <w:spacing w:after="120"/>
      <w:ind w:left="283"/>
    </w:pPr>
    <w:rPr>
      <w:sz w:val="16"/>
      <w:szCs w:val="16"/>
    </w:rPr>
  </w:style>
  <w:style w:type="character" w:customStyle="1" w:styleId="Recuodecorpodetexto3Char">
    <w:name w:val="Recuo de corpo de texto 3 Char"/>
    <w:basedOn w:val="Fontepargpadro"/>
    <w:link w:val="Recuodecorpodetexto3"/>
    <w:semiHidden/>
    <w:rsid w:val="000D5DB5"/>
    <w:rPr>
      <w:rFonts w:ascii="Times New Roman" w:eastAsia="Times New Roman" w:hAnsi="Times New Roman" w:cs="Times New Roman"/>
      <w:sz w:val="16"/>
      <w:szCs w:val="16"/>
      <w:lang w:eastAsia="pt-BR"/>
    </w:rPr>
  </w:style>
  <w:style w:type="paragraph" w:styleId="NormalWeb">
    <w:name w:val="Normal (Web)"/>
    <w:basedOn w:val="Normal"/>
    <w:uiPriority w:val="99"/>
    <w:rsid w:val="000D5DB5"/>
    <w:pPr>
      <w:spacing w:before="100" w:after="100"/>
    </w:pPr>
    <w:rPr>
      <w:szCs w:val="20"/>
    </w:rPr>
  </w:style>
  <w:style w:type="paragraph" w:customStyle="1" w:styleId="Default">
    <w:name w:val="Default"/>
    <w:rsid w:val="000D5DB5"/>
    <w:pPr>
      <w:autoSpaceDE w:val="0"/>
      <w:autoSpaceDN w:val="0"/>
      <w:adjustRightInd w:val="0"/>
      <w:spacing w:after="0" w:line="240" w:lineRule="auto"/>
      <w:jc w:val="left"/>
    </w:pPr>
    <w:rPr>
      <w:rFonts w:ascii="AAFOMB+TimesNewRoman" w:eastAsia="Times New Roman" w:hAnsi="AAFOMB+TimesNew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35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 /><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1817</Words>
  <Characters>9818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Usuário Convidado</cp:lastModifiedBy>
  <cp:revision>2</cp:revision>
  <cp:lastPrinted>2020-07-10T14:35:00Z</cp:lastPrinted>
  <dcterms:created xsi:type="dcterms:W3CDTF">2020-07-28T22:09:00Z</dcterms:created>
  <dcterms:modified xsi:type="dcterms:W3CDTF">2020-07-28T22:09:00Z</dcterms:modified>
</cp:coreProperties>
</file>